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D95C4" w14:textId="6759C83B" w:rsidR="00685399" w:rsidRPr="006E0F18" w:rsidRDefault="00685399" w:rsidP="00685399">
      <w:pPr>
        <w:jc w:val="center"/>
        <w:rPr>
          <w:b/>
          <w:bCs/>
          <w:sz w:val="26"/>
          <w:szCs w:val="26"/>
        </w:rPr>
      </w:pPr>
      <w:r w:rsidRPr="006E0F18">
        <w:rPr>
          <w:b/>
          <w:bCs/>
          <w:sz w:val="26"/>
          <w:szCs w:val="26"/>
        </w:rPr>
        <w:t>ADFM</w:t>
      </w:r>
      <w:r w:rsidR="00170378">
        <w:rPr>
          <w:b/>
          <w:bCs/>
          <w:sz w:val="26"/>
          <w:szCs w:val="26"/>
        </w:rPr>
        <w:t xml:space="preserve"> 2021</w:t>
      </w:r>
      <w:r w:rsidRPr="006E0F18">
        <w:rPr>
          <w:b/>
          <w:bCs/>
          <w:sz w:val="26"/>
          <w:szCs w:val="26"/>
        </w:rPr>
        <w:t xml:space="preserve"> DIHE </w:t>
      </w:r>
      <w:r w:rsidR="00170378">
        <w:rPr>
          <w:b/>
          <w:bCs/>
          <w:sz w:val="26"/>
          <w:szCs w:val="26"/>
        </w:rPr>
        <w:t>Committee Session Plan</w:t>
      </w:r>
      <w:r w:rsidRPr="006E0F18">
        <w:rPr>
          <w:b/>
          <w:bCs/>
          <w:sz w:val="26"/>
          <w:szCs w:val="26"/>
        </w:rPr>
        <w:t xml:space="preserve"> </w:t>
      </w:r>
    </w:p>
    <w:p w14:paraId="74175099" w14:textId="367E0951" w:rsidR="00685399" w:rsidRPr="00942A2C" w:rsidRDefault="004B26D9" w:rsidP="00170378">
      <w:pPr>
        <w:jc w:val="center"/>
        <w:rPr>
          <w:sz w:val="21"/>
          <w:szCs w:val="21"/>
        </w:rPr>
      </w:pPr>
      <w:r>
        <w:rPr>
          <w:sz w:val="21"/>
          <w:szCs w:val="21"/>
        </w:rPr>
        <w:t>2-18-21</w:t>
      </w:r>
    </w:p>
    <w:p w14:paraId="3D7BF9F7" w14:textId="77777777" w:rsidR="00685399" w:rsidRPr="002A5617" w:rsidRDefault="00685399" w:rsidP="00685399">
      <w:pPr>
        <w:rPr>
          <w:b/>
          <w:bCs/>
          <w:sz w:val="16"/>
          <w:szCs w:val="16"/>
        </w:rPr>
      </w:pPr>
    </w:p>
    <w:p w14:paraId="53E28265" w14:textId="77777777" w:rsidR="00685399" w:rsidRDefault="00685399" w:rsidP="00685399">
      <w:pPr>
        <w:spacing w:after="120"/>
        <w:ind w:hanging="274"/>
      </w:pPr>
      <w:r>
        <w:rPr>
          <w:b/>
          <w:bCs/>
        </w:rPr>
        <w:t xml:space="preserve">DIHE at </w:t>
      </w:r>
      <w:r w:rsidRPr="006E0F18">
        <w:rPr>
          <w:b/>
          <w:bCs/>
        </w:rPr>
        <w:t>ADFM 2021 Meeting:</w:t>
      </w:r>
      <w:r>
        <w:t xml:space="preserve"> </w:t>
      </w:r>
      <w:r w:rsidRPr="001268E0">
        <w:t xml:space="preserve">Thurs </w:t>
      </w:r>
      <w:r>
        <w:t>F</w:t>
      </w:r>
      <w:r w:rsidRPr="001268E0">
        <w:t>eb 18</w:t>
      </w:r>
      <w:r>
        <w:t xml:space="preserve"> is dedicated to</w:t>
      </w:r>
      <w:r w:rsidRPr="001268E0">
        <w:t xml:space="preserve"> addressing systemic racism in healthcare.</w:t>
      </w:r>
      <w:r>
        <w:t xml:space="preserve"> The ADFM B</w:t>
      </w:r>
      <w:r w:rsidRPr="001268E0">
        <w:t xml:space="preserve">oard wants to launch the </w:t>
      </w:r>
      <w:r>
        <w:t xml:space="preserve">ADFM </w:t>
      </w:r>
      <w:r w:rsidRPr="001268E0">
        <w:t>anti-racism plan and tie</w:t>
      </w:r>
      <w:r>
        <w:t xml:space="preserve"> it to the</w:t>
      </w:r>
      <w:r w:rsidRPr="001268E0">
        <w:t xml:space="preserve"> ADFM </w:t>
      </w:r>
      <w:r>
        <w:t>DIHE S</w:t>
      </w:r>
      <w:r w:rsidRPr="001268E0">
        <w:t>mart</w:t>
      </w:r>
      <w:r>
        <w:t xml:space="preserve"> G</w:t>
      </w:r>
      <w:r w:rsidRPr="001268E0">
        <w:t>oal framework</w:t>
      </w:r>
      <w:r>
        <w:t xml:space="preserve"> emerging from our DIHE Committee</w:t>
      </w:r>
      <w:r w:rsidRPr="001268E0">
        <w:t>.</w:t>
      </w:r>
    </w:p>
    <w:p w14:paraId="33B14D62" w14:textId="76CF106E" w:rsidR="00685399" w:rsidRDefault="00685399" w:rsidP="00685399">
      <w:r w:rsidRPr="001268E0">
        <w:t>The</w:t>
      </w:r>
      <w:r w:rsidR="00355133">
        <w:t xml:space="preserve"> ADFM</w:t>
      </w:r>
      <w:r w:rsidRPr="001268E0">
        <w:t xml:space="preserve"> antiracism statement is to help departments move forward—</w:t>
      </w:r>
      <w:r>
        <w:t xml:space="preserve">using </w:t>
      </w:r>
      <w:r w:rsidRPr="001268E0">
        <w:t>the action plan</w:t>
      </w:r>
      <w:r>
        <w:t xml:space="preserve"> as a general template, knowing that each Dept. has to find its own particular path. </w:t>
      </w:r>
    </w:p>
    <w:p w14:paraId="33F289A2" w14:textId="77777777" w:rsidR="00685399" w:rsidRPr="006D017C" w:rsidRDefault="00685399" w:rsidP="00685399"/>
    <w:p w14:paraId="7A96EE4E" w14:textId="6C779430" w:rsidR="00685399" w:rsidRPr="007052BC" w:rsidRDefault="00685399" w:rsidP="00685399">
      <w:pPr>
        <w:spacing w:after="60"/>
        <w:ind w:left="-274"/>
        <w:rPr>
          <w:b/>
          <w:bCs/>
        </w:rPr>
      </w:pPr>
      <w:r w:rsidRPr="007052BC">
        <w:rPr>
          <w:b/>
          <w:bCs/>
        </w:rPr>
        <w:t>The DIHE Committee session:</w:t>
      </w:r>
      <w:r>
        <w:rPr>
          <w:b/>
          <w:bCs/>
        </w:rPr>
        <w:t xml:space="preserve"> </w:t>
      </w:r>
      <w:r>
        <w:t xml:space="preserve">From </w:t>
      </w:r>
      <w:r w:rsidR="00810647">
        <w:t>4:30</w:t>
      </w:r>
      <w:r>
        <w:t xml:space="preserve"> to </w:t>
      </w:r>
      <w:r w:rsidR="00810647">
        <w:t>5:45</w:t>
      </w:r>
      <w:r w:rsidRPr="001268E0">
        <w:t xml:space="preserve"> E</w:t>
      </w:r>
      <w:r>
        <w:t>DT</w:t>
      </w:r>
    </w:p>
    <w:p w14:paraId="0B411A1B" w14:textId="47A90A88" w:rsidR="00685399" w:rsidRPr="00170378" w:rsidRDefault="00685399" w:rsidP="00170378">
      <w:pPr>
        <w:spacing w:after="60"/>
        <w:ind w:left="274" w:hanging="274"/>
      </w:pPr>
      <w:r w:rsidRPr="00CC495C">
        <w:rPr>
          <w:u w:val="single"/>
        </w:rPr>
        <w:t>Purpose:</w:t>
      </w:r>
      <w:r>
        <w:t xml:space="preserve"> To help Departments form their own plans for anti-racism in context of the 3 pillars of DIHE work in family medicine</w:t>
      </w:r>
      <w:r w:rsidR="00170378">
        <w:t xml:space="preserve">. </w:t>
      </w:r>
      <w:r w:rsidRPr="00170378">
        <w:rPr>
          <w:sz w:val="21"/>
          <w:szCs w:val="21"/>
        </w:rPr>
        <w:t>(</w:t>
      </w:r>
      <w:r w:rsidRPr="00170378">
        <w:rPr>
          <w:rFonts w:cs="Times New Roman (Body CS)"/>
          <w:sz w:val="21"/>
          <w:szCs w:val="21"/>
        </w:rPr>
        <w:t>Care delivery &amp; health, Workforce recruitment &amp;retention, Learner recruitment &amp; training)</w:t>
      </w:r>
    </w:p>
    <w:p w14:paraId="5B932359" w14:textId="0D87DABB" w:rsidR="00685399" w:rsidRDefault="00685399" w:rsidP="00170378">
      <w:pPr>
        <w:spacing w:after="20"/>
        <w:ind w:left="270"/>
      </w:pPr>
      <w:r>
        <w:t>The broad anti-racism plan</w:t>
      </w:r>
      <w:r w:rsidR="00170378">
        <w:t xml:space="preserve"> and 3 pillars for DIHE work in family medicine departments </w:t>
      </w:r>
      <w:r>
        <w:t>will be outlined earlier in the day, so t</w:t>
      </w:r>
      <w:r w:rsidRPr="001268E0">
        <w:t>h</w:t>
      </w:r>
      <w:r>
        <w:t>e DIHE committee</w:t>
      </w:r>
      <w:r w:rsidRPr="001268E0">
        <w:t xml:space="preserve"> session</w:t>
      </w:r>
      <w:r>
        <w:t xml:space="preserve"> will: </w:t>
      </w:r>
    </w:p>
    <w:p w14:paraId="36BFE73F" w14:textId="2FDEE1BF" w:rsidR="00685399" w:rsidRDefault="00170378" w:rsidP="00170378">
      <w:pPr>
        <w:pStyle w:val="ListParagraph"/>
        <w:numPr>
          <w:ilvl w:val="0"/>
          <w:numId w:val="1"/>
        </w:numPr>
        <w:spacing w:after="20"/>
        <w:ind w:left="900" w:hanging="450"/>
        <w:contextualSpacing w:val="0"/>
      </w:pPr>
      <w:r>
        <w:t>Incorporate</w:t>
      </w:r>
      <w:r w:rsidR="00685399">
        <w:t xml:space="preserve"> the essence of</w:t>
      </w:r>
      <w:r>
        <w:t xml:space="preserve"> the</w:t>
      </w:r>
      <w:r w:rsidR="00685399">
        <w:t xml:space="preserve"> antiracism action plan in context of the</w:t>
      </w:r>
      <w:r>
        <w:t xml:space="preserve"> 3</w:t>
      </w:r>
      <w:r w:rsidR="00685399">
        <w:t xml:space="preserve"> pillars for DIHE work—in a </w:t>
      </w:r>
      <w:r>
        <w:t xml:space="preserve">worksheet </w:t>
      </w:r>
      <w:r w:rsidR="00685399">
        <w:t>that invites people to form action steps</w:t>
      </w:r>
      <w:r>
        <w:t>.</w:t>
      </w:r>
    </w:p>
    <w:p w14:paraId="7B173486" w14:textId="6A7685C2" w:rsidR="00685399" w:rsidRPr="001268E0" w:rsidRDefault="00685399" w:rsidP="00685399">
      <w:pPr>
        <w:pStyle w:val="ListParagraph"/>
        <w:numPr>
          <w:ilvl w:val="0"/>
          <w:numId w:val="1"/>
        </w:numPr>
        <w:spacing w:after="120"/>
        <w:ind w:left="900" w:hanging="450"/>
        <w:contextualSpacing w:val="0"/>
      </w:pPr>
      <w:r>
        <w:t>Engage participants in</w:t>
      </w:r>
      <w:r w:rsidR="00170378">
        <w:t xml:space="preserve"> breakouts to</w:t>
      </w:r>
      <w:r>
        <w:t xml:space="preserve"> </w:t>
      </w:r>
      <w:r w:rsidR="00170378">
        <w:t>articulate on the worksheet</w:t>
      </w:r>
      <w:r>
        <w:t xml:space="preserve"> what they are ready to do in their</w:t>
      </w:r>
      <w:r w:rsidRPr="001268E0">
        <w:t xml:space="preserve"> own department</w:t>
      </w:r>
      <w:r>
        <w:t>s</w:t>
      </w:r>
      <w:r w:rsidRPr="001268E0">
        <w:t>.</w:t>
      </w:r>
    </w:p>
    <w:p w14:paraId="71176FCF" w14:textId="67FE16D3" w:rsidR="00685399" w:rsidRDefault="00685399" w:rsidP="00EE2927">
      <w:pPr>
        <w:spacing w:after="120"/>
      </w:pPr>
      <w:r>
        <w:t>Participants will be at different levels of experience, readiness, and stages of work. The session (and breakout facilitators) will be aware and make sure everyone’s needs or starting places are respected.</w:t>
      </w:r>
    </w:p>
    <w:p w14:paraId="2B2954BB" w14:textId="61593D1F" w:rsidR="00685399" w:rsidRPr="00A54A37" w:rsidRDefault="005F3737" w:rsidP="005F3737">
      <w:pPr>
        <w:ind w:left="-270"/>
        <w:rPr>
          <w:b/>
          <w:bCs/>
        </w:rPr>
      </w:pPr>
      <w:r>
        <w:rPr>
          <w:b/>
          <w:bCs/>
        </w:rPr>
        <w:t>A</w:t>
      </w:r>
      <w:r w:rsidR="00685399">
        <w:rPr>
          <w:b/>
          <w:bCs/>
        </w:rPr>
        <w:t>genda</w:t>
      </w:r>
    </w:p>
    <w:tbl>
      <w:tblPr>
        <w:tblStyle w:val="TableGrid"/>
        <w:tblW w:w="10710" w:type="dxa"/>
        <w:tblInd w:w="-5" w:type="dxa"/>
        <w:tblLook w:val="04A0" w:firstRow="1" w:lastRow="0" w:firstColumn="1" w:lastColumn="0" w:noHBand="0" w:noVBand="1"/>
      </w:tblPr>
      <w:tblGrid>
        <w:gridCol w:w="995"/>
        <w:gridCol w:w="9715"/>
      </w:tblGrid>
      <w:tr w:rsidR="00685399" w14:paraId="66E2E79B" w14:textId="77777777" w:rsidTr="00810647">
        <w:trPr>
          <w:trHeight w:val="306"/>
        </w:trPr>
        <w:tc>
          <w:tcPr>
            <w:tcW w:w="995" w:type="dxa"/>
            <w:tcBorders>
              <w:bottom w:val="nil"/>
            </w:tcBorders>
          </w:tcPr>
          <w:p w14:paraId="6BA45F93" w14:textId="1D932DBE" w:rsidR="00685399" w:rsidRPr="00A54A37" w:rsidRDefault="00810647" w:rsidP="005F3737">
            <w:pPr>
              <w:rPr>
                <w:b/>
                <w:bCs/>
              </w:rPr>
            </w:pPr>
            <w:r>
              <w:rPr>
                <w:b/>
                <w:bCs/>
              </w:rPr>
              <w:t>4:30 ET</w:t>
            </w:r>
          </w:p>
        </w:tc>
        <w:tc>
          <w:tcPr>
            <w:tcW w:w="9715" w:type="dxa"/>
          </w:tcPr>
          <w:p w14:paraId="1BF37BD9" w14:textId="77777777" w:rsidR="00685399" w:rsidRDefault="00685399" w:rsidP="005F3737">
            <w:r>
              <w:t>Welcome and overview of agenda and breakouts</w:t>
            </w:r>
          </w:p>
        </w:tc>
      </w:tr>
      <w:tr w:rsidR="00685399" w14:paraId="7E874CAB" w14:textId="77777777" w:rsidTr="00810647">
        <w:trPr>
          <w:trHeight w:val="873"/>
        </w:trPr>
        <w:tc>
          <w:tcPr>
            <w:tcW w:w="995" w:type="dxa"/>
            <w:tcBorders>
              <w:top w:val="nil"/>
            </w:tcBorders>
          </w:tcPr>
          <w:p w14:paraId="29DC12DB" w14:textId="77777777" w:rsidR="00685399" w:rsidRDefault="00685399" w:rsidP="005F3737"/>
        </w:tc>
        <w:tc>
          <w:tcPr>
            <w:tcW w:w="9715" w:type="dxa"/>
          </w:tcPr>
          <w:p w14:paraId="049FB8F5" w14:textId="408F897B" w:rsidR="00685399" w:rsidRDefault="00685399" w:rsidP="005F3737">
            <w:pPr>
              <w:ind w:left="264"/>
            </w:pPr>
            <w:r>
              <w:t>Orientation</w:t>
            </w:r>
            <w:r w:rsidR="00EE2927">
              <w:t xml:space="preserve"> to worksheet</w:t>
            </w:r>
            <w:r>
              <w:t xml:space="preserve">: ADFM antiracism plan in context of the </w:t>
            </w:r>
            <w:r w:rsidR="00EE2927">
              <w:t>3</w:t>
            </w:r>
            <w:r>
              <w:t xml:space="preserve"> Pillars of DIHE </w:t>
            </w:r>
            <w:r w:rsidR="00EE2927">
              <w:t>work; how to record your thoughts on worksheet as you participate in the breakout.</w:t>
            </w:r>
          </w:p>
        </w:tc>
      </w:tr>
      <w:tr w:rsidR="00685399" w14:paraId="6B3B3A00" w14:textId="77777777" w:rsidTr="00810647">
        <w:trPr>
          <w:trHeight w:val="1845"/>
        </w:trPr>
        <w:tc>
          <w:tcPr>
            <w:tcW w:w="995" w:type="dxa"/>
          </w:tcPr>
          <w:p w14:paraId="279528C5" w14:textId="7534506D" w:rsidR="00685399" w:rsidRPr="006D017C" w:rsidRDefault="00810647" w:rsidP="005F3737">
            <w:r>
              <w:t>4:45 ET</w:t>
            </w:r>
          </w:p>
        </w:tc>
        <w:tc>
          <w:tcPr>
            <w:tcW w:w="9715" w:type="dxa"/>
          </w:tcPr>
          <w:p w14:paraId="2049CFBB" w14:textId="77777777" w:rsidR="00685399" w:rsidRPr="00EE2927" w:rsidRDefault="00685399" w:rsidP="005F3737">
            <w:pPr>
              <w:spacing w:after="20"/>
            </w:pPr>
            <w:r>
              <w:t xml:space="preserve">Pose the breakout task and questions: </w:t>
            </w:r>
            <w:r w:rsidRPr="00CC495C">
              <w:rPr>
                <w:i/>
                <w:iCs/>
              </w:rPr>
              <w:t>What will</w:t>
            </w:r>
            <w:r>
              <w:rPr>
                <w:i/>
                <w:iCs/>
              </w:rPr>
              <w:t xml:space="preserve"> you do in your department, given</w:t>
            </w:r>
            <w:r w:rsidRPr="00CC495C">
              <w:rPr>
                <w:i/>
                <w:iCs/>
              </w:rPr>
              <w:t xml:space="preserve"> the ADFM anti-racism action plan </w:t>
            </w:r>
            <w:r>
              <w:rPr>
                <w:i/>
                <w:iCs/>
              </w:rPr>
              <w:t xml:space="preserve">and </w:t>
            </w:r>
            <w:r w:rsidRPr="00CC495C">
              <w:rPr>
                <w:i/>
                <w:iCs/>
              </w:rPr>
              <w:t>pillars</w:t>
            </w:r>
            <w:r>
              <w:rPr>
                <w:i/>
                <w:iCs/>
              </w:rPr>
              <w:t xml:space="preserve"> of DIHE work in Family Medicine</w:t>
            </w:r>
            <w:r w:rsidRPr="00CC495C">
              <w:rPr>
                <w:i/>
                <w:iCs/>
              </w:rPr>
              <w:t>?</w:t>
            </w:r>
          </w:p>
          <w:p w14:paraId="4AB2FB52" w14:textId="77777777" w:rsidR="00685399" w:rsidRPr="00EE2927" w:rsidRDefault="00685399" w:rsidP="005F3737">
            <w:pPr>
              <w:pStyle w:val="ListParagraph"/>
              <w:numPr>
                <w:ilvl w:val="0"/>
                <w:numId w:val="2"/>
              </w:numPr>
              <w:spacing w:after="20"/>
              <w:ind w:left="518" w:hanging="338"/>
              <w:contextualSpacing w:val="0"/>
            </w:pPr>
            <w:r w:rsidRPr="00EE2927">
              <w:t>Where do you stand now? What is your top growth or developmental area?</w:t>
            </w:r>
          </w:p>
          <w:p w14:paraId="4F605014" w14:textId="59CF5E04" w:rsidR="00685399" w:rsidRPr="00EE2927" w:rsidRDefault="00685399" w:rsidP="005F3737">
            <w:pPr>
              <w:pStyle w:val="ListParagraph"/>
              <w:numPr>
                <w:ilvl w:val="0"/>
                <w:numId w:val="2"/>
              </w:numPr>
              <w:spacing w:after="20"/>
              <w:ind w:left="518" w:hanging="338"/>
              <w:contextualSpacing w:val="0"/>
            </w:pPr>
            <w:r w:rsidRPr="00EE2927">
              <w:t xml:space="preserve">What will you do and how </w:t>
            </w:r>
            <w:r w:rsidR="00EE2927" w:rsidRPr="00EE2927">
              <w:t>will you</w:t>
            </w:r>
            <w:r w:rsidRPr="00EE2927">
              <w:t xml:space="preserve"> start?</w:t>
            </w:r>
          </w:p>
          <w:p w14:paraId="3CED008F" w14:textId="77777777" w:rsidR="00685399" w:rsidRDefault="00685399" w:rsidP="005F3737">
            <w:r>
              <w:t>Finally, what from this session will you take back to your department—a communicable message?</w:t>
            </w:r>
          </w:p>
        </w:tc>
      </w:tr>
      <w:tr w:rsidR="00685399" w14:paraId="6CCE387F" w14:textId="77777777" w:rsidTr="00810647">
        <w:trPr>
          <w:trHeight w:val="1089"/>
        </w:trPr>
        <w:tc>
          <w:tcPr>
            <w:tcW w:w="995" w:type="dxa"/>
          </w:tcPr>
          <w:p w14:paraId="5A2CF9D9" w14:textId="6D6E4102" w:rsidR="00685399" w:rsidRPr="006D017C" w:rsidRDefault="00810647" w:rsidP="005F3737">
            <w:r>
              <w:t>4:50 ET</w:t>
            </w:r>
          </w:p>
        </w:tc>
        <w:tc>
          <w:tcPr>
            <w:tcW w:w="9715" w:type="dxa"/>
          </w:tcPr>
          <w:p w14:paraId="0A79F0BF" w14:textId="03569B65" w:rsidR="00685399" w:rsidRDefault="00685399" w:rsidP="005F3737">
            <w:r>
              <w:t>Breakout groups facilitated by members of the DIHE committee: What will you do in your dept.?</w:t>
            </w:r>
          </w:p>
          <w:p w14:paraId="03158CFB" w14:textId="3BA6D2DB" w:rsidR="00685399" w:rsidRDefault="00685399" w:rsidP="005F3737">
            <w:pPr>
              <w:ind w:left="158"/>
            </w:pPr>
            <w:r>
              <w:t xml:space="preserve">Participants </w:t>
            </w:r>
            <w:r w:rsidR="00355133">
              <w:t xml:space="preserve">can </w:t>
            </w:r>
            <w:r>
              <w:t>choose one</w:t>
            </w:r>
            <w:r w:rsidR="00355133">
              <w:t xml:space="preserve"> or more</w:t>
            </w:r>
            <w:r>
              <w:t xml:space="preserve"> pillar</w:t>
            </w:r>
            <w:r w:rsidR="00355133">
              <w:t>s</w:t>
            </w:r>
            <w:r>
              <w:t xml:space="preserve"> for this conversation—the one</w:t>
            </w:r>
            <w:r w:rsidR="00355133">
              <w:t>(s)</w:t>
            </w:r>
            <w:r>
              <w:t xml:space="preserve"> that speaks to them or seem most ripe and ready, knowing</w:t>
            </w:r>
            <w:r w:rsidR="00355133">
              <w:t xml:space="preserve"> that</w:t>
            </w:r>
            <w:r>
              <w:t xml:space="preserve"> all are important</w:t>
            </w:r>
            <w:r w:rsidR="00355133">
              <w:t>.</w:t>
            </w:r>
          </w:p>
        </w:tc>
      </w:tr>
      <w:tr w:rsidR="00685399" w14:paraId="6E3B164B" w14:textId="77777777" w:rsidTr="00810647">
        <w:trPr>
          <w:trHeight w:val="810"/>
        </w:trPr>
        <w:tc>
          <w:tcPr>
            <w:tcW w:w="995" w:type="dxa"/>
          </w:tcPr>
          <w:p w14:paraId="3E5A4CA3" w14:textId="4C1B2415" w:rsidR="00685399" w:rsidRPr="006D017C" w:rsidRDefault="00810647" w:rsidP="005F3737">
            <w:r>
              <w:t>5:30 ET</w:t>
            </w:r>
          </w:p>
        </w:tc>
        <w:tc>
          <w:tcPr>
            <w:tcW w:w="9715" w:type="dxa"/>
          </w:tcPr>
          <w:p w14:paraId="293AD45F" w14:textId="77777777" w:rsidR="00685399" w:rsidRDefault="00685399" w:rsidP="005F3737">
            <w:r>
              <w:t>Reconvene in large group</w:t>
            </w:r>
          </w:p>
          <w:p w14:paraId="50F1FB1B" w14:textId="77777777" w:rsidR="00685399" w:rsidRDefault="00685399" w:rsidP="005F3737">
            <w:pPr>
              <w:ind w:left="158"/>
            </w:pPr>
            <w:r>
              <w:t>Themes across breakouts: What are the top growth areas, what kinds of steps will we take</w:t>
            </w:r>
          </w:p>
        </w:tc>
      </w:tr>
      <w:tr w:rsidR="00685399" w14:paraId="3AD73761" w14:textId="77777777" w:rsidTr="00810647">
        <w:tc>
          <w:tcPr>
            <w:tcW w:w="995" w:type="dxa"/>
          </w:tcPr>
          <w:p w14:paraId="6BD33321" w14:textId="2A0F2BE8" w:rsidR="00685399" w:rsidRPr="00CC495C" w:rsidRDefault="00810647" w:rsidP="005F3737">
            <w:pPr>
              <w:rPr>
                <w:b/>
                <w:bCs/>
              </w:rPr>
            </w:pPr>
            <w:r>
              <w:rPr>
                <w:b/>
                <w:bCs/>
              </w:rPr>
              <w:t>5:45</w:t>
            </w:r>
            <w:r w:rsidR="00685399" w:rsidRPr="00CC495C">
              <w:rPr>
                <w:b/>
                <w:bCs/>
              </w:rPr>
              <w:t xml:space="preserve"> </w:t>
            </w:r>
            <w:r>
              <w:rPr>
                <w:b/>
                <w:bCs/>
              </w:rPr>
              <w:t>ET</w:t>
            </w:r>
          </w:p>
        </w:tc>
        <w:tc>
          <w:tcPr>
            <w:tcW w:w="9715" w:type="dxa"/>
          </w:tcPr>
          <w:p w14:paraId="205D6ACE" w14:textId="77777777" w:rsidR="00685399" w:rsidRDefault="00685399" w:rsidP="005F3737">
            <w:r>
              <w:t>Adjourn</w:t>
            </w:r>
          </w:p>
        </w:tc>
      </w:tr>
    </w:tbl>
    <w:p w14:paraId="09A2F63C" w14:textId="77777777" w:rsidR="005F3737" w:rsidRDefault="005F3737"/>
    <w:p w14:paraId="13706703" w14:textId="49C1DC54" w:rsidR="009A5DF0" w:rsidRDefault="009A5DF0" w:rsidP="003257B2">
      <w:pPr>
        <w:spacing w:after="40"/>
        <w:ind w:left="-270"/>
        <w:rPr>
          <w:b/>
          <w:bCs/>
        </w:rPr>
      </w:pPr>
      <w:r>
        <w:rPr>
          <w:b/>
          <w:bCs/>
        </w:rPr>
        <w:t>To optimize your experience in this session</w:t>
      </w:r>
    </w:p>
    <w:p w14:paraId="57E2D819" w14:textId="0F2BA199" w:rsidR="00AC7E2F" w:rsidRDefault="00F510B4" w:rsidP="003257B2">
      <w:pPr>
        <w:spacing w:after="40"/>
        <w:ind w:left="270" w:hanging="270"/>
      </w:pPr>
      <w:r w:rsidRPr="00F510B4">
        <w:rPr>
          <w:u w:val="single"/>
        </w:rPr>
        <w:t>Print or l</w:t>
      </w:r>
      <w:r w:rsidR="009A5DF0" w:rsidRPr="00F510B4">
        <w:rPr>
          <w:u w:val="single"/>
        </w:rPr>
        <w:t>oad the worksheet onto your desktop</w:t>
      </w:r>
      <w:r w:rsidR="002A5617">
        <w:rPr>
          <w:u w:val="single"/>
        </w:rPr>
        <w:t xml:space="preserve">. </w:t>
      </w:r>
      <w:r w:rsidR="009A5DF0" w:rsidRPr="009A5DF0">
        <w:t xml:space="preserve"> </w:t>
      </w:r>
      <w:r w:rsidR="002A5617">
        <w:t>T</w:t>
      </w:r>
      <w:r w:rsidR="009A5DF0" w:rsidRPr="009A5DF0">
        <w:t>y</w:t>
      </w:r>
      <w:r w:rsidR="009A5DF0">
        <w:t>p</w:t>
      </w:r>
      <w:r w:rsidR="009A5DF0" w:rsidRPr="009A5DF0">
        <w:t>e</w:t>
      </w:r>
      <w:r w:rsidR="009A5DF0">
        <w:t xml:space="preserve"> or write</w:t>
      </w:r>
      <w:r w:rsidR="009A5DF0" w:rsidRPr="009A5DF0">
        <w:t xml:space="preserve"> </w:t>
      </w:r>
      <w:r>
        <w:t>on</w:t>
      </w:r>
      <w:r w:rsidR="009A5DF0" w:rsidRPr="009A5DF0">
        <w:t xml:space="preserve"> it</w:t>
      </w:r>
      <w:r w:rsidR="009A5DF0">
        <w:t xml:space="preserve"> during the</w:t>
      </w:r>
      <w:r>
        <w:t xml:space="preserve"> session</w:t>
      </w:r>
      <w:r w:rsidR="002A5617">
        <w:t xml:space="preserve"> so you</w:t>
      </w:r>
      <w:r w:rsidR="009A5DF0">
        <w:t xml:space="preserve"> have</w:t>
      </w:r>
      <w:r>
        <w:t xml:space="preserve"> your plan handy</w:t>
      </w:r>
      <w:r w:rsidR="009A5DF0">
        <w:t xml:space="preserve"> afterward</w:t>
      </w:r>
      <w:r>
        <w:t>.</w:t>
      </w:r>
    </w:p>
    <w:p w14:paraId="5BE0FDD4" w14:textId="617683A8" w:rsidR="00AC7E2F" w:rsidRDefault="00AC7E2F" w:rsidP="002A5617">
      <w:pPr>
        <w:spacing w:after="60"/>
      </w:pPr>
      <w:r>
        <w:t xml:space="preserve">Consider </w:t>
      </w:r>
      <w:r w:rsidRPr="00AC7E2F">
        <w:t>reading the ADFM</w:t>
      </w:r>
      <w:r>
        <w:t xml:space="preserve"> DIHE Smart Goals and Synopsis of antiracism plan in advance of the session</w:t>
      </w:r>
    </w:p>
    <w:p w14:paraId="1AA5B57A" w14:textId="40C00524" w:rsidR="002A5617" w:rsidRPr="002A5617" w:rsidRDefault="002A5617" w:rsidP="002A5617">
      <w:pPr>
        <w:jc w:val="right"/>
        <w:rPr>
          <w:sz w:val="20"/>
          <w:szCs w:val="20"/>
        </w:rPr>
      </w:pPr>
      <w:r w:rsidRPr="002A5617">
        <w:rPr>
          <w:sz w:val="20"/>
          <w:szCs w:val="20"/>
        </w:rPr>
        <w:t xml:space="preserve">* </w:t>
      </w:r>
      <w:r>
        <w:rPr>
          <w:sz w:val="20"/>
          <w:szCs w:val="20"/>
        </w:rPr>
        <w:t>S</w:t>
      </w:r>
      <w:r w:rsidRPr="002A5617">
        <w:rPr>
          <w:sz w:val="20"/>
          <w:szCs w:val="20"/>
        </w:rPr>
        <w:t>ession planning group: Anna Ramanathan, Linda Speer, Wendy Nickerson</w:t>
      </w:r>
      <w:r>
        <w:rPr>
          <w:sz w:val="20"/>
          <w:szCs w:val="20"/>
        </w:rPr>
        <w:t>,</w:t>
      </w:r>
      <w:r w:rsidRPr="002A5617">
        <w:rPr>
          <w:sz w:val="20"/>
          <w:szCs w:val="20"/>
        </w:rPr>
        <w:t xml:space="preserve"> CJ Peek</w:t>
      </w:r>
    </w:p>
    <w:p w14:paraId="7825E2C7" w14:textId="7AF9CAAB" w:rsidR="002A5617" w:rsidRPr="00F510B4" w:rsidRDefault="002A5617" w:rsidP="003257B2">
      <w:pPr>
        <w:sectPr w:rsidR="002A5617" w:rsidRPr="00F510B4" w:rsidSect="00170378">
          <w:pgSz w:w="12240" w:h="15840"/>
          <w:pgMar w:top="864" w:right="864" w:bottom="864" w:left="864" w:header="720" w:footer="720" w:gutter="0"/>
          <w:cols w:space="720"/>
          <w:docGrid w:linePitch="360"/>
        </w:sectPr>
      </w:pPr>
    </w:p>
    <w:p w14:paraId="1ED9CC6D" w14:textId="77777777" w:rsidR="00355133" w:rsidRDefault="00355133" w:rsidP="00355133">
      <w:pPr>
        <w:jc w:val="center"/>
        <w:rPr>
          <w:b/>
          <w:bCs/>
          <w:iCs/>
          <w:sz w:val="26"/>
          <w:szCs w:val="26"/>
        </w:rPr>
      </w:pPr>
      <w:r w:rsidRPr="001A15E5">
        <w:rPr>
          <w:b/>
          <w:bCs/>
          <w:iCs/>
          <w:sz w:val="26"/>
          <w:szCs w:val="26"/>
        </w:rPr>
        <w:lastRenderedPageBreak/>
        <w:t>Worksheet: ADFM 2021 DIHE Committee Session</w:t>
      </w:r>
    </w:p>
    <w:p w14:paraId="248439AE" w14:textId="2B525847" w:rsidR="00355133" w:rsidRPr="00355133" w:rsidRDefault="00810647" w:rsidP="00355133">
      <w:pPr>
        <w:jc w:val="right"/>
        <w:rPr>
          <w:iCs/>
          <w:sz w:val="20"/>
          <w:szCs w:val="20"/>
        </w:rPr>
      </w:pPr>
      <w:r>
        <w:rPr>
          <w:iCs/>
          <w:sz w:val="20"/>
          <w:szCs w:val="20"/>
        </w:rPr>
        <w:t>2-1</w:t>
      </w:r>
      <w:r w:rsidR="004B26D9" w:rsidRPr="004B26D9">
        <w:rPr>
          <w:iCs/>
          <w:sz w:val="20"/>
          <w:szCs w:val="20"/>
        </w:rPr>
        <w:t>8-21</w:t>
      </w:r>
      <w:r w:rsidR="00EC2DB4">
        <w:rPr>
          <w:iCs/>
          <w:sz w:val="20"/>
          <w:szCs w:val="20"/>
        </w:rPr>
        <w:t>;</w:t>
      </w:r>
      <w:r w:rsidR="00355133" w:rsidRPr="00355133">
        <w:rPr>
          <w:iCs/>
          <w:sz w:val="20"/>
          <w:szCs w:val="20"/>
        </w:rPr>
        <w:t xml:space="preserve"> </w:t>
      </w:r>
      <w:proofErr w:type="spellStart"/>
      <w:r w:rsidR="00355133" w:rsidRPr="00355133">
        <w:rPr>
          <w:iCs/>
          <w:sz w:val="18"/>
          <w:szCs w:val="18"/>
        </w:rPr>
        <w:t>cjp</w:t>
      </w:r>
      <w:proofErr w:type="spellEnd"/>
    </w:p>
    <w:p w14:paraId="7FA59802" w14:textId="77777777" w:rsidR="00355133" w:rsidRPr="002711AB" w:rsidRDefault="00355133" w:rsidP="00C04B12">
      <w:pPr>
        <w:ind w:left="-101"/>
        <w:rPr>
          <w:b/>
          <w:bCs/>
          <w:iCs/>
        </w:rPr>
      </w:pPr>
      <w:r w:rsidRPr="00FA223D">
        <w:rPr>
          <w:b/>
          <w:bCs/>
        </w:rPr>
        <w:t>Task:</w:t>
      </w:r>
      <w:r>
        <w:rPr>
          <w:i/>
          <w:iCs/>
        </w:rPr>
        <w:t xml:space="preserve"> </w:t>
      </w:r>
      <w:r>
        <w:rPr>
          <w:b/>
          <w:bCs/>
          <w:iCs/>
        </w:rPr>
        <w:t xml:space="preserve">Jot down below </w:t>
      </w:r>
      <w:r w:rsidRPr="00FA223D">
        <w:rPr>
          <w:b/>
          <w:bCs/>
          <w:iCs/>
        </w:rPr>
        <w:t xml:space="preserve">antiracism actions </w:t>
      </w:r>
      <w:r>
        <w:rPr>
          <w:b/>
          <w:bCs/>
          <w:iCs/>
        </w:rPr>
        <w:t>you’ll</w:t>
      </w:r>
      <w:r w:rsidRPr="00FA223D">
        <w:rPr>
          <w:b/>
          <w:bCs/>
          <w:iCs/>
        </w:rPr>
        <w:t xml:space="preserve"> take in your own dep</w:t>
      </w:r>
      <w:r>
        <w:rPr>
          <w:b/>
          <w:bCs/>
          <w:iCs/>
        </w:rPr>
        <w:t>t—</w:t>
      </w:r>
      <w:r w:rsidRPr="00991CD8">
        <w:rPr>
          <w:iCs/>
        </w:rPr>
        <w:t>And later turn it into a communicable message, proposal, or plan</w:t>
      </w:r>
      <w:r>
        <w:rPr>
          <w:iCs/>
        </w:rPr>
        <w:t>.</w:t>
      </w:r>
      <w:r w:rsidRPr="00991CD8">
        <w:rPr>
          <w:iCs/>
        </w:rPr>
        <w:t xml:space="preserve"> </w:t>
      </w:r>
    </w:p>
    <w:p w14:paraId="0EC56FBA" w14:textId="0C744C6D" w:rsidR="00355133" w:rsidRPr="00200C50" w:rsidRDefault="00355133" w:rsidP="00C04B12">
      <w:pPr>
        <w:spacing w:after="100"/>
        <w:ind w:left="180"/>
      </w:pPr>
      <w:r w:rsidRPr="00991CD8">
        <w:rPr>
          <w:b/>
          <w:bCs/>
        </w:rPr>
        <w:t>Hint</w:t>
      </w:r>
      <w:r w:rsidRPr="002711AB">
        <w:t>:  You won’t be able to create actions for everything right now.</w:t>
      </w:r>
      <w:r>
        <w:t xml:space="preserve">  Pick your top area(s) for growth—where you most need to</w:t>
      </w:r>
      <w:bookmarkStart w:id="0" w:name="_GoBack"/>
      <w:bookmarkEnd w:id="0"/>
      <w:r>
        <w:t xml:space="preserve"> do something</w:t>
      </w:r>
    </w:p>
    <w:tbl>
      <w:tblPr>
        <w:tblW w:w="147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0"/>
        <w:gridCol w:w="2970"/>
        <w:gridCol w:w="3240"/>
        <w:gridCol w:w="3060"/>
      </w:tblGrid>
      <w:tr w:rsidR="00355133" w:rsidRPr="00934171" w14:paraId="02B01ADF" w14:textId="77777777" w:rsidTr="005F3737">
        <w:trPr>
          <w:trHeight w:val="381"/>
        </w:trPr>
        <w:tc>
          <w:tcPr>
            <w:tcW w:w="5490" w:type="dxa"/>
            <w:tcBorders>
              <w:top w:val="nil"/>
              <w:left w:val="nil"/>
            </w:tcBorders>
          </w:tcPr>
          <w:p w14:paraId="475BF4BB" w14:textId="77777777" w:rsidR="00355133" w:rsidRPr="00934171" w:rsidRDefault="00355133" w:rsidP="00AD25D8">
            <w:pPr>
              <w:pStyle w:val="TableParagraph"/>
              <w:spacing w:before="5"/>
              <w:ind w:left="222"/>
              <w:jc w:val="center"/>
              <w:rPr>
                <w:rFonts w:asciiTheme="minorHAnsi" w:hAnsiTheme="minorHAnsi" w:cs="Calibri (Body)"/>
                <w:b/>
                <w:sz w:val="24"/>
              </w:rPr>
            </w:pPr>
          </w:p>
        </w:tc>
        <w:tc>
          <w:tcPr>
            <w:tcW w:w="9270" w:type="dxa"/>
            <w:gridSpan w:val="3"/>
          </w:tcPr>
          <w:p w14:paraId="772EC1C3" w14:textId="77777777" w:rsidR="00355133" w:rsidRDefault="00355133" w:rsidP="00AD25D8">
            <w:pPr>
              <w:pStyle w:val="TableParagraph"/>
              <w:spacing w:before="5"/>
              <w:ind w:left="298" w:right="292"/>
              <w:jc w:val="center"/>
              <w:rPr>
                <w:rFonts w:asciiTheme="minorHAnsi" w:hAnsiTheme="minorHAnsi" w:cs="Calibri (Body)"/>
                <w:b/>
                <w:sz w:val="24"/>
              </w:rPr>
            </w:pPr>
            <w:r>
              <w:rPr>
                <w:rFonts w:asciiTheme="minorHAnsi" w:hAnsiTheme="minorHAnsi" w:cs="Calibri (Body)"/>
                <w:b/>
                <w:sz w:val="24"/>
              </w:rPr>
              <w:t>The Three Pillars of DIHE in Family Medicine</w:t>
            </w:r>
          </w:p>
          <w:p w14:paraId="2DC892AF" w14:textId="4AD3C7DC" w:rsidR="00355133" w:rsidRPr="00934171" w:rsidRDefault="00355133" w:rsidP="00AD25D8">
            <w:pPr>
              <w:pStyle w:val="TableParagraph"/>
              <w:spacing w:before="5"/>
              <w:ind w:left="298" w:right="292"/>
              <w:jc w:val="center"/>
              <w:rPr>
                <w:rFonts w:asciiTheme="minorHAnsi" w:hAnsiTheme="minorHAnsi" w:cs="Calibri (Body)"/>
                <w:b/>
                <w:sz w:val="24"/>
              </w:rPr>
            </w:pPr>
            <w:r w:rsidRPr="00355133">
              <w:rPr>
                <w:rFonts w:asciiTheme="minorHAnsi" w:hAnsiTheme="minorHAnsi" w:cs="Calibri (Body)"/>
                <w:bCs/>
                <w:sz w:val="21"/>
                <w:szCs w:val="21"/>
              </w:rPr>
              <w:t>from ADFM SMART Goals</w:t>
            </w:r>
            <w:r>
              <w:rPr>
                <w:rFonts w:asciiTheme="minorHAnsi" w:hAnsiTheme="minorHAnsi" w:cs="Calibri (Body)"/>
                <w:bCs/>
                <w:sz w:val="21"/>
                <w:szCs w:val="21"/>
              </w:rPr>
              <w:t xml:space="preserve"> for DIHE</w:t>
            </w:r>
          </w:p>
        </w:tc>
      </w:tr>
      <w:tr w:rsidR="00355133" w:rsidRPr="00934171" w14:paraId="62C0B098" w14:textId="77777777" w:rsidTr="005F3737">
        <w:tc>
          <w:tcPr>
            <w:tcW w:w="5490" w:type="dxa"/>
            <w:tcBorders>
              <w:bottom w:val="single" w:sz="4" w:space="0" w:color="000000"/>
            </w:tcBorders>
          </w:tcPr>
          <w:p w14:paraId="39038194" w14:textId="34BA2799" w:rsidR="00355133" w:rsidRDefault="005F3737" w:rsidP="00AD25D8">
            <w:pPr>
              <w:pStyle w:val="TableParagraph"/>
              <w:spacing w:before="5"/>
              <w:ind w:left="86"/>
              <w:jc w:val="center"/>
              <w:rPr>
                <w:rFonts w:asciiTheme="minorHAnsi" w:hAnsiTheme="minorHAnsi" w:cs="Calibri (Body)"/>
                <w:b/>
              </w:rPr>
            </w:pPr>
            <w:r>
              <w:rPr>
                <w:rFonts w:asciiTheme="minorHAnsi" w:hAnsiTheme="minorHAnsi" w:cs="Calibri (Body)"/>
                <w:b/>
                <w:noProof/>
              </w:rPr>
              <mc:AlternateContent>
                <mc:Choice Requires="wps">
                  <w:drawing>
                    <wp:anchor distT="0" distB="0" distL="114300" distR="114300" simplePos="0" relativeHeight="251660288" behindDoc="0" locked="0" layoutInCell="1" allowOverlap="1" wp14:anchorId="648DF711" wp14:editId="3E5B18CD">
                      <wp:simplePos x="0" y="0"/>
                      <wp:positionH relativeFrom="column">
                        <wp:posOffset>3179445</wp:posOffset>
                      </wp:positionH>
                      <wp:positionV relativeFrom="paragraph">
                        <wp:posOffset>127635</wp:posOffset>
                      </wp:positionV>
                      <wp:extent cx="447040" cy="111760"/>
                      <wp:effectExtent l="0" t="12700" r="22860" b="27940"/>
                      <wp:wrapNone/>
                      <wp:docPr id="2" name="Right Arrow 2"/>
                      <wp:cNvGraphicFramePr/>
                      <a:graphic xmlns:a="http://schemas.openxmlformats.org/drawingml/2006/main">
                        <a:graphicData uri="http://schemas.microsoft.com/office/word/2010/wordprocessingShape">
                          <wps:wsp>
                            <wps:cNvSpPr/>
                            <wps:spPr>
                              <a:xfrm>
                                <a:off x="0" y="0"/>
                                <a:ext cx="447040" cy="111760"/>
                              </a:xfrm>
                              <a:prstGeom prst="right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51C3F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50.35pt;margin-top:10.05pt;width:35.2pt;height: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" adj="18900" fillcolor="#f2f2f2 [3052]" strokecolor="black [3213]" strokeweight="1pt"/>
                  </w:pict>
                </mc:Fallback>
              </mc:AlternateContent>
            </w:r>
            <w:r w:rsidR="00355133" w:rsidRPr="0059344A">
              <w:rPr>
                <w:rFonts w:asciiTheme="minorHAnsi" w:hAnsiTheme="minorHAnsi" w:cs="Calibri (Body)"/>
                <w:b/>
              </w:rPr>
              <w:t>Action areas from ADFM Antiracism Plan</w:t>
            </w:r>
          </w:p>
          <w:p w14:paraId="568ED6D2" w14:textId="375596AA" w:rsidR="00355133" w:rsidRPr="005F3737" w:rsidRDefault="005F3737" w:rsidP="00AD25D8">
            <w:pPr>
              <w:pStyle w:val="TableParagraph"/>
              <w:spacing w:before="5"/>
              <w:ind w:left="86"/>
              <w:jc w:val="center"/>
              <w:rPr>
                <w:rFonts w:asciiTheme="minorHAnsi" w:hAnsiTheme="minorHAnsi" w:cs="Calibri (Body)"/>
                <w:bCs/>
                <w:sz w:val="21"/>
                <w:szCs w:val="21"/>
              </w:rPr>
            </w:pPr>
            <w:r w:rsidRPr="005F3737">
              <w:rPr>
                <w:rFonts w:asciiTheme="minorHAnsi" w:hAnsiTheme="minorHAnsi" w:cs="Calibri (Body)"/>
                <w:bCs/>
                <w:sz w:val="21"/>
                <w:szCs w:val="21"/>
              </w:rPr>
              <w:t>From synopsis of ADFM action plan</w:t>
            </w:r>
          </w:p>
        </w:tc>
        <w:tc>
          <w:tcPr>
            <w:tcW w:w="2970" w:type="dxa"/>
            <w:tcBorders>
              <w:bottom w:val="single" w:sz="4" w:space="0" w:color="000000"/>
            </w:tcBorders>
          </w:tcPr>
          <w:p w14:paraId="40D40EC8" w14:textId="77777777" w:rsidR="00355133" w:rsidRPr="0059344A" w:rsidRDefault="00355133" w:rsidP="00AD25D8">
            <w:pPr>
              <w:pStyle w:val="TableParagraph"/>
              <w:spacing w:before="5"/>
              <w:ind w:left="222"/>
              <w:jc w:val="center"/>
              <w:rPr>
                <w:rFonts w:asciiTheme="minorHAnsi" w:hAnsiTheme="minorHAnsi" w:cs="Calibri (Body)"/>
                <w:b/>
              </w:rPr>
            </w:pPr>
            <w:r w:rsidRPr="0059344A">
              <w:rPr>
                <w:rFonts w:asciiTheme="minorHAnsi" w:hAnsiTheme="minorHAnsi" w:cs="Calibri (Body)"/>
                <w:b/>
              </w:rPr>
              <w:t>Care delivery &amp; health</w:t>
            </w:r>
          </w:p>
        </w:tc>
        <w:tc>
          <w:tcPr>
            <w:tcW w:w="3240" w:type="dxa"/>
            <w:tcBorders>
              <w:bottom w:val="single" w:sz="4" w:space="0" w:color="000000"/>
            </w:tcBorders>
          </w:tcPr>
          <w:p w14:paraId="2247D5FD" w14:textId="77777777" w:rsidR="00355133" w:rsidRPr="0059344A" w:rsidRDefault="00355133" w:rsidP="00AD25D8">
            <w:pPr>
              <w:pStyle w:val="TableParagraph"/>
              <w:spacing w:before="5"/>
              <w:ind w:left="125" w:right="121"/>
              <w:jc w:val="center"/>
              <w:rPr>
                <w:rFonts w:asciiTheme="minorHAnsi" w:hAnsiTheme="minorHAnsi" w:cs="Calibri (Body)"/>
                <w:b/>
              </w:rPr>
            </w:pPr>
            <w:r w:rsidRPr="0059344A">
              <w:rPr>
                <w:rFonts w:asciiTheme="minorHAnsi" w:hAnsiTheme="minorHAnsi" w:cs="Calibri (Body)"/>
                <w:b/>
              </w:rPr>
              <w:t>Workforce recruitment &amp; retention</w:t>
            </w:r>
          </w:p>
        </w:tc>
        <w:tc>
          <w:tcPr>
            <w:tcW w:w="3060" w:type="dxa"/>
            <w:tcBorders>
              <w:bottom w:val="single" w:sz="4" w:space="0" w:color="000000"/>
            </w:tcBorders>
          </w:tcPr>
          <w:p w14:paraId="38E921C1" w14:textId="77777777" w:rsidR="00355133" w:rsidRPr="0059344A" w:rsidRDefault="00355133" w:rsidP="00AD25D8">
            <w:pPr>
              <w:pStyle w:val="TableParagraph"/>
              <w:spacing w:before="5"/>
              <w:ind w:left="298" w:right="292"/>
              <w:jc w:val="center"/>
              <w:rPr>
                <w:rFonts w:asciiTheme="minorHAnsi" w:hAnsiTheme="minorHAnsi" w:cs="Calibri (Body)"/>
                <w:b/>
              </w:rPr>
            </w:pPr>
            <w:r w:rsidRPr="0059344A">
              <w:rPr>
                <w:rFonts w:asciiTheme="minorHAnsi" w:hAnsiTheme="minorHAnsi" w:cs="Calibri (Body)"/>
                <w:b/>
              </w:rPr>
              <w:t>Learner recruitment &amp; training</w:t>
            </w:r>
          </w:p>
        </w:tc>
      </w:tr>
      <w:tr w:rsidR="00355133" w:rsidRPr="00934171" w14:paraId="6B5C3163" w14:textId="77777777" w:rsidTr="005F3737">
        <w:trPr>
          <w:trHeight w:val="1070"/>
        </w:trPr>
        <w:tc>
          <w:tcPr>
            <w:tcW w:w="5490" w:type="dxa"/>
            <w:vMerge w:val="restart"/>
          </w:tcPr>
          <w:p w14:paraId="15439C00" w14:textId="77777777" w:rsidR="00355133" w:rsidRPr="00CD0408" w:rsidRDefault="00355133" w:rsidP="00AD25D8">
            <w:pPr>
              <w:pStyle w:val="TableParagraph"/>
              <w:spacing w:before="0"/>
              <w:ind w:left="101" w:right="173"/>
              <w:rPr>
                <w:rFonts w:asciiTheme="minorHAnsi" w:hAnsiTheme="minorHAnsi" w:cstheme="minorHAnsi"/>
                <w:bCs/>
                <w:iCs/>
              </w:rPr>
            </w:pPr>
            <w:r w:rsidRPr="00CD0408">
              <w:rPr>
                <w:rFonts w:asciiTheme="minorHAnsi" w:hAnsiTheme="minorHAnsi" w:cstheme="minorHAnsi"/>
                <w:bCs/>
                <w:iCs/>
              </w:rPr>
              <w:t>Internal work for the organization, e.g.</w:t>
            </w:r>
          </w:p>
          <w:p w14:paraId="5DC46B3D" w14:textId="77777777" w:rsidR="00355133" w:rsidRPr="002711AB" w:rsidRDefault="00355133" w:rsidP="00355133">
            <w:pPr>
              <w:pStyle w:val="TableParagraph"/>
              <w:numPr>
                <w:ilvl w:val="0"/>
                <w:numId w:val="4"/>
              </w:numPr>
              <w:spacing w:before="0"/>
              <w:ind w:left="546" w:right="173"/>
              <w:rPr>
                <w:rFonts w:asciiTheme="minorHAnsi" w:hAnsiTheme="minorHAnsi" w:cstheme="minorHAnsi"/>
                <w:bCs/>
                <w:iCs/>
                <w:sz w:val="20"/>
                <w:szCs w:val="20"/>
              </w:rPr>
            </w:pPr>
            <w:r w:rsidRPr="00CD0408">
              <w:rPr>
                <w:rFonts w:asciiTheme="minorHAnsi" w:hAnsiTheme="minorHAnsi" w:cstheme="minorHAnsi"/>
                <w:bCs/>
                <w:iCs/>
                <w:sz w:val="20"/>
                <w:szCs w:val="20"/>
              </w:rPr>
              <w:t>Tracking diversity of ADFM membership and Board; implicit bias training</w:t>
            </w:r>
          </w:p>
          <w:p w14:paraId="5352E8B0" w14:textId="77777777" w:rsidR="00355133" w:rsidRPr="002711AB" w:rsidRDefault="00355133" w:rsidP="00355133">
            <w:pPr>
              <w:pStyle w:val="TableParagraph"/>
              <w:numPr>
                <w:ilvl w:val="0"/>
                <w:numId w:val="4"/>
              </w:numPr>
              <w:spacing w:before="0" w:after="40"/>
              <w:ind w:left="547" w:right="173"/>
              <w:rPr>
                <w:rFonts w:asciiTheme="minorHAnsi" w:hAnsiTheme="minorHAnsi" w:cstheme="minorHAnsi"/>
                <w:bCs/>
                <w:iCs/>
                <w:sz w:val="20"/>
                <w:szCs w:val="20"/>
              </w:rPr>
            </w:pPr>
            <w:r w:rsidRPr="002711AB">
              <w:rPr>
                <w:rFonts w:asciiTheme="minorHAnsi" w:hAnsiTheme="minorHAnsi" w:cstheme="minorHAnsi"/>
                <w:bCs/>
                <w:iCs/>
                <w:sz w:val="20"/>
                <w:szCs w:val="20"/>
              </w:rPr>
              <w:t>Integrating DIHE in each strategic area and examining written policies</w:t>
            </w:r>
          </w:p>
          <w:p w14:paraId="2EB58680" w14:textId="77777777" w:rsidR="00355133" w:rsidRPr="00CD0408" w:rsidRDefault="00355133" w:rsidP="00AD25D8">
            <w:pPr>
              <w:pStyle w:val="TableParagraph"/>
              <w:spacing w:before="0"/>
              <w:ind w:left="186" w:right="173"/>
              <w:rPr>
                <w:rFonts w:asciiTheme="minorHAnsi" w:hAnsiTheme="minorHAnsi" w:cstheme="minorHAnsi"/>
                <w:bCs/>
                <w:iCs/>
              </w:rPr>
            </w:pPr>
            <w:r w:rsidRPr="00CD0408">
              <w:rPr>
                <w:rFonts w:asciiTheme="minorHAnsi" w:hAnsiTheme="minorHAnsi" w:cstheme="minorHAnsi"/>
                <w:bCs/>
                <w:iCs/>
              </w:rPr>
              <w:t xml:space="preserve">Considering economic investments, e.g. </w:t>
            </w:r>
          </w:p>
          <w:p w14:paraId="04F598D2" w14:textId="77777777" w:rsidR="00355133" w:rsidRPr="002711AB" w:rsidRDefault="00355133" w:rsidP="00355133">
            <w:pPr>
              <w:pStyle w:val="TableParagraph"/>
              <w:numPr>
                <w:ilvl w:val="0"/>
                <w:numId w:val="5"/>
              </w:numPr>
              <w:spacing w:before="0"/>
              <w:ind w:left="546" w:right="173"/>
              <w:rPr>
                <w:rFonts w:asciiTheme="minorHAnsi" w:hAnsiTheme="minorHAnsi" w:cstheme="minorHAnsi"/>
                <w:bCs/>
                <w:iCs/>
                <w:sz w:val="20"/>
                <w:szCs w:val="20"/>
              </w:rPr>
            </w:pPr>
            <w:r w:rsidRPr="00CD0408">
              <w:rPr>
                <w:rFonts w:asciiTheme="minorHAnsi" w:hAnsiTheme="minorHAnsi" w:cstheme="minorHAnsi"/>
                <w:bCs/>
                <w:iCs/>
                <w:sz w:val="20"/>
                <w:szCs w:val="20"/>
              </w:rPr>
              <w:t>Where to use economic investments, including where to hold conferences</w:t>
            </w:r>
          </w:p>
          <w:p w14:paraId="5CF46C3B" w14:textId="77777777" w:rsidR="00355133" w:rsidRPr="002711AB" w:rsidRDefault="00355133" w:rsidP="00355133">
            <w:pPr>
              <w:pStyle w:val="TableParagraph"/>
              <w:numPr>
                <w:ilvl w:val="0"/>
                <w:numId w:val="5"/>
              </w:numPr>
              <w:spacing w:before="0" w:after="40"/>
              <w:ind w:left="547" w:right="173"/>
              <w:rPr>
                <w:rFonts w:asciiTheme="minorHAnsi" w:hAnsiTheme="minorHAnsi" w:cstheme="minorHAnsi"/>
                <w:bCs/>
                <w:iCs/>
                <w:sz w:val="20"/>
                <w:szCs w:val="20"/>
              </w:rPr>
            </w:pPr>
            <w:r>
              <w:rPr>
                <w:rFonts w:asciiTheme="minorHAnsi" w:hAnsiTheme="minorHAnsi" w:cstheme="minorHAnsi"/>
                <w:bCs/>
                <w:iCs/>
                <w:sz w:val="20"/>
                <w:szCs w:val="20"/>
              </w:rPr>
              <w:t>Socially responsible</w:t>
            </w:r>
            <w:r w:rsidRPr="002711AB">
              <w:rPr>
                <w:rFonts w:asciiTheme="minorHAnsi" w:hAnsiTheme="minorHAnsi" w:cstheme="minorHAnsi"/>
                <w:bCs/>
                <w:iCs/>
                <w:sz w:val="20"/>
                <w:szCs w:val="20"/>
              </w:rPr>
              <w:t xml:space="preserve"> investment portfolio</w:t>
            </w:r>
          </w:p>
          <w:p w14:paraId="27E8F943" w14:textId="739FDE18" w:rsidR="00355133" w:rsidRPr="00CD0408" w:rsidRDefault="00FD6FF7" w:rsidP="00AD25D8">
            <w:pPr>
              <w:pStyle w:val="TableParagraph"/>
              <w:spacing w:before="0"/>
              <w:ind w:left="186" w:right="173"/>
              <w:rPr>
                <w:rFonts w:asciiTheme="minorHAnsi" w:hAnsiTheme="minorHAnsi" w:cstheme="minorHAnsi"/>
                <w:bCs/>
                <w:iCs/>
              </w:rPr>
            </w:pPr>
            <w:r>
              <w:rPr>
                <w:rFonts w:asciiTheme="minorHAnsi" w:hAnsiTheme="minorHAnsi" w:cstheme="minorHAnsi"/>
                <w:bCs/>
                <w:iCs/>
                <w:noProof/>
              </w:rPr>
              <mc:AlternateContent>
                <mc:Choice Requires="wps">
                  <w:drawing>
                    <wp:anchor distT="0" distB="0" distL="114300" distR="114300" simplePos="0" relativeHeight="251661312" behindDoc="0" locked="0" layoutInCell="1" allowOverlap="1" wp14:anchorId="167FF6E4" wp14:editId="390F23AE">
                      <wp:simplePos x="0" y="0"/>
                      <wp:positionH relativeFrom="column">
                        <wp:posOffset>3484245</wp:posOffset>
                      </wp:positionH>
                      <wp:positionV relativeFrom="paragraph">
                        <wp:posOffset>63500</wp:posOffset>
                      </wp:positionV>
                      <wp:extent cx="5842000" cy="6197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5842000" cy="619760"/>
                              </a:xfrm>
                              <a:prstGeom prst="rect">
                                <a:avLst/>
                              </a:prstGeom>
                              <a:solidFill>
                                <a:schemeClr val="lt1"/>
                              </a:solidFill>
                              <a:ln w="0">
                                <a:noFill/>
                              </a:ln>
                            </wps:spPr>
                            <wps:txbx>
                              <w:txbxContent>
                                <w:p w14:paraId="64B0BEB7" w14:textId="77777777" w:rsidR="00FD6FF7" w:rsidRPr="00FD6FF7" w:rsidRDefault="00FD6FF7" w:rsidP="00FD6FF7">
                                  <w:pPr>
                                    <w:rPr>
                                      <w:i/>
                                      <w:iCs/>
                                      <w:sz w:val="22"/>
                                      <w:szCs w:val="22"/>
                                    </w:rPr>
                                  </w:pPr>
                                  <w:r w:rsidRPr="00FD6FF7">
                                    <w:rPr>
                                      <w:b/>
                                      <w:bCs/>
                                      <w:i/>
                                      <w:iCs/>
                                      <w:sz w:val="22"/>
                                      <w:szCs w:val="22"/>
                                    </w:rPr>
                                    <w:t>Equity in research</w:t>
                                  </w:r>
                                  <w:r w:rsidRPr="00FD6FF7">
                                    <w:rPr>
                                      <w:i/>
                                      <w:iCs/>
                                      <w:sz w:val="22"/>
                                      <w:szCs w:val="22"/>
                                    </w:rPr>
                                    <w:t>--a dimension of all 3 pillars:</w:t>
                                  </w:r>
                                </w:p>
                                <w:p w14:paraId="1F963213" w14:textId="418121ED" w:rsidR="00FD6FF7" w:rsidRPr="00FD6FF7" w:rsidRDefault="00554005" w:rsidP="00FD6FF7">
                                  <w:pPr>
                                    <w:ind w:left="180"/>
                                    <w:rPr>
                                      <w:sz w:val="22"/>
                                      <w:szCs w:val="22"/>
                                    </w:rPr>
                                  </w:pPr>
                                  <w:r>
                                    <w:rPr>
                                      <w:sz w:val="22"/>
                                      <w:szCs w:val="22"/>
                                    </w:rPr>
                                    <w:t>Equity in care delivery and other research; equity in the research workforce; engaging diverse learners in research in a way that addresses equity issues in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67FF6E4" id="_x0000_t202" coordsize="21600,21600" o:spt="202" path="m,l,21600r21600,l21600,xe">
                      <v:stroke joinstyle="miter"/>
                      <v:path gradientshapeok="t" o:connecttype="rect"/>
                    </v:shapetype>
                    <v:shape id="Text Box 4" o:spid="_x0000_s1026" type="#_x0000_t202" style="position:absolute;left:0;text-align:left;margin-left:274.35pt;margin-top:5pt;width:460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" fillcolor="white [3201]" stroked="f" strokeweight="0">
                      <v:textbox>
                        <w:txbxContent>
                          <w:p w14:paraId="64B0BEB7" w14:textId="77777777" w:rsidR="00FD6FF7" w:rsidRPr="00FD6FF7" w:rsidRDefault="00FD6FF7" w:rsidP="00FD6FF7">
                            <w:pPr>
                              <w:rPr>
                                <w:i/>
                                <w:iCs/>
                                <w:sz w:val="22"/>
                                <w:szCs w:val="22"/>
                              </w:rPr>
                            </w:pPr>
                            <w:r w:rsidRPr="00FD6FF7">
                              <w:rPr>
                                <w:b/>
                                <w:bCs/>
                                <w:i/>
                                <w:iCs/>
                                <w:sz w:val="22"/>
                                <w:szCs w:val="22"/>
                              </w:rPr>
                              <w:t>Equity in research</w:t>
                            </w:r>
                            <w:r w:rsidRPr="00FD6FF7">
                              <w:rPr>
                                <w:i/>
                                <w:iCs/>
                                <w:sz w:val="22"/>
                                <w:szCs w:val="22"/>
                              </w:rPr>
                              <w:t>--a dimension of all 3 pillars:</w:t>
                            </w:r>
                          </w:p>
                          <w:p w14:paraId="1F963213" w14:textId="418121ED" w:rsidR="00FD6FF7" w:rsidRPr="00FD6FF7" w:rsidRDefault="00554005" w:rsidP="00FD6FF7">
                            <w:pPr>
                              <w:ind w:left="180"/>
                              <w:rPr>
                                <w:sz w:val="22"/>
                                <w:szCs w:val="22"/>
                              </w:rPr>
                            </w:pPr>
                            <w:r>
                              <w:rPr>
                                <w:sz w:val="22"/>
                                <w:szCs w:val="22"/>
                              </w:rPr>
                              <w:t>Equity in care delivery and other research; equity in the research workforce; engaging diverse learners in research in a way that addresses equity issues in research.</w:t>
                            </w:r>
                          </w:p>
                        </w:txbxContent>
                      </v:textbox>
                    </v:shape>
                  </w:pict>
                </mc:Fallback>
              </mc:AlternateContent>
            </w:r>
            <w:r w:rsidR="00355133" w:rsidRPr="00CD0408">
              <w:rPr>
                <w:rFonts w:asciiTheme="minorHAnsi" w:hAnsiTheme="minorHAnsi" w:cstheme="minorHAnsi"/>
                <w:bCs/>
                <w:iCs/>
              </w:rPr>
              <w:t xml:space="preserve">Gathering and sharing data, e.g. </w:t>
            </w:r>
          </w:p>
          <w:p w14:paraId="2FAF5369" w14:textId="77777777" w:rsidR="00355133" w:rsidRPr="00CD0408" w:rsidRDefault="00355133" w:rsidP="00355133">
            <w:pPr>
              <w:pStyle w:val="TableParagraph"/>
              <w:numPr>
                <w:ilvl w:val="0"/>
                <w:numId w:val="6"/>
              </w:numPr>
              <w:spacing w:before="0"/>
              <w:ind w:left="546" w:right="173"/>
              <w:rPr>
                <w:rFonts w:asciiTheme="minorHAnsi" w:hAnsiTheme="minorHAnsi" w:cstheme="minorHAnsi"/>
                <w:bCs/>
                <w:iCs/>
                <w:sz w:val="20"/>
                <w:szCs w:val="20"/>
              </w:rPr>
            </w:pPr>
            <w:r w:rsidRPr="00CD0408">
              <w:rPr>
                <w:rFonts w:asciiTheme="minorHAnsi" w:hAnsiTheme="minorHAnsi" w:cstheme="minorHAnsi"/>
                <w:bCs/>
                <w:iCs/>
                <w:sz w:val="20"/>
                <w:szCs w:val="20"/>
              </w:rPr>
              <w:t>On diversity and inclusion in departments and institutions, incl DIHE leader positions</w:t>
            </w:r>
          </w:p>
          <w:p w14:paraId="741FB557" w14:textId="77777777" w:rsidR="00355133" w:rsidRPr="002711AB" w:rsidRDefault="00355133" w:rsidP="00355133">
            <w:pPr>
              <w:pStyle w:val="TableParagraph"/>
              <w:numPr>
                <w:ilvl w:val="0"/>
                <w:numId w:val="6"/>
              </w:numPr>
              <w:spacing w:before="0"/>
              <w:ind w:left="546" w:right="173"/>
              <w:rPr>
                <w:rFonts w:asciiTheme="minorHAnsi" w:hAnsiTheme="minorHAnsi" w:cstheme="minorHAnsi"/>
                <w:bCs/>
                <w:iCs/>
                <w:sz w:val="20"/>
                <w:szCs w:val="20"/>
              </w:rPr>
            </w:pPr>
            <w:r w:rsidRPr="00CD0408">
              <w:rPr>
                <w:rFonts w:asciiTheme="minorHAnsi" w:hAnsiTheme="minorHAnsi" w:cstheme="minorHAnsi"/>
                <w:bCs/>
                <w:iCs/>
                <w:sz w:val="20"/>
                <w:szCs w:val="20"/>
              </w:rPr>
              <w:t>On patient processes and outcomes</w:t>
            </w:r>
          </w:p>
          <w:p w14:paraId="7F7CAE68" w14:textId="274A3B0B" w:rsidR="00355133" w:rsidRPr="002711AB" w:rsidRDefault="00355133" w:rsidP="00355133">
            <w:pPr>
              <w:pStyle w:val="TableParagraph"/>
              <w:numPr>
                <w:ilvl w:val="0"/>
                <w:numId w:val="6"/>
              </w:numPr>
              <w:spacing w:before="0" w:after="40"/>
              <w:ind w:left="547" w:right="173"/>
              <w:rPr>
                <w:rFonts w:asciiTheme="minorHAnsi" w:hAnsiTheme="minorHAnsi" w:cstheme="minorHAnsi"/>
                <w:bCs/>
                <w:iCs/>
                <w:sz w:val="20"/>
                <w:szCs w:val="20"/>
              </w:rPr>
            </w:pPr>
            <w:r w:rsidRPr="002711AB">
              <w:rPr>
                <w:rFonts w:asciiTheme="minorHAnsi" w:hAnsiTheme="minorHAnsi" w:cstheme="minorHAnsi"/>
                <w:bCs/>
                <w:iCs/>
                <w:sz w:val="20"/>
                <w:szCs w:val="20"/>
              </w:rPr>
              <w:t xml:space="preserve">On AAMC/ACGME benchmarks for fac </w:t>
            </w:r>
            <w:r w:rsidR="005F3737">
              <w:rPr>
                <w:rFonts w:asciiTheme="minorHAnsi" w:hAnsiTheme="minorHAnsi" w:cstheme="minorHAnsi"/>
                <w:bCs/>
                <w:iCs/>
                <w:sz w:val="20"/>
                <w:szCs w:val="20"/>
              </w:rPr>
              <w:t>&amp;</w:t>
            </w:r>
            <w:r w:rsidRPr="002711AB">
              <w:rPr>
                <w:rFonts w:asciiTheme="minorHAnsi" w:hAnsiTheme="minorHAnsi" w:cstheme="minorHAnsi"/>
                <w:bCs/>
                <w:iCs/>
                <w:sz w:val="20"/>
                <w:szCs w:val="20"/>
              </w:rPr>
              <w:t xml:space="preserve"> resident diversity</w:t>
            </w:r>
          </w:p>
          <w:p w14:paraId="6D3BC9E2" w14:textId="77777777" w:rsidR="00355133" w:rsidRPr="00CD0408" w:rsidRDefault="00355133" w:rsidP="00AD25D8">
            <w:pPr>
              <w:pStyle w:val="TableParagraph"/>
              <w:spacing w:before="0"/>
              <w:ind w:left="186" w:right="173"/>
              <w:rPr>
                <w:rFonts w:asciiTheme="minorHAnsi" w:hAnsiTheme="minorHAnsi" w:cstheme="minorHAnsi"/>
                <w:bCs/>
                <w:iCs/>
              </w:rPr>
            </w:pPr>
            <w:r w:rsidRPr="00CD0408">
              <w:rPr>
                <w:rFonts w:asciiTheme="minorHAnsi" w:hAnsiTheme="minorHAnsi" w:cstheme="minorHAnsi"/>
                <w:bCs/>
                <w:iCs/>
              </w:rPr>
              <w:t>Gathering and sharing best practices, e.g.</w:t>
            </w:r>
          </w:p>
          <w:p w14:paraId="29BCD7EB" w14:textId="77777777" w:rsidR="00355133" w:rsidRPr="00CD0408" w:rsidRDefault="00355133" w:rsidP="00355133">
            <w:pPr>
              <w:pStyle w:val="TableParagraph"/>
              <w:numPr>
                <w:ilvl w:val="0"/>
                <w:numId w:val="7"/>
              </w:numPr>
              <w:spacing w:before="0"/>
              <w:ind w:right="173"/>
              <w:rPr>
                <w:rFonts w:asciiTheme="minorHAnsi" w:hAnsiTheme="minorHAnsi" w:cstheme="minorHAnsi"/>
                <w:bCs/>
                <w:iCs/>
                <w:sz w:val="20"/>
                <w:szCs w:val="20"/>
              </w:rPr>
            </w:pPr>
            <w:r w:rsidRPr="00CD0408">
              <w:rPr>
                <w:rFonts w:asciiTheme="minorHAnsi" w:hAnsiTheme="minorHAnsi" w:cstheme="minorHAnsi"/>
                <w:bCs/>
                <w:iCs/>
                <w:sz w:val="20"/>
                <w:szCs w:val="20"/>
              </w:rPr>
              <w:t>Recruitment and retention of faculty, staff, leaders, learners from diverse backgrounds</w:t>
            </w:r>
          </w:p>
          <w:p w14:paraId="4CB40CBD" w14:textId="77777777" w:rsidR="00355133" w:rsidRPr="00CD0408" w:rsidRDefault="00355133" w:rsidP="00355133">
            <w:pPr>
              <w:pStyle w:val="TableParagraph"/>
              <w:numPr>
                <w:ilvl w:val="0"/>
                <w:numId w:val="7"/>
              </w:numPr>
              <w:spacing w:before="0"/>
              <w:ind w:right="173"/>
              <w:rPr>
                <w:rFonts w:asciiTheme="minorHAnsi" w:hAnsiTheme="minorHAnsi" w:cstheme="minorHAnsi"/>
                <w:bCs/>
                <w:iCs/>
                <w:sz w:val="20"/>
                <w:szCs w:val="20"/>
              </w:rPr>
            </w:pPr>
            <w:r w:rsidRPr="00CD0408">
              <w:rPr>
                <w:rFonts w:asciiTheme="minorHAnsi" w:hAnsiTheme="minorHAnsi" w:cstheme="minorHAnsi"/>
                <w:bCs/>
                <w:iCs/>
                <w:sz w:val="20"/>
                <w:szCs w:val="20"/>
              </w:rPr>
              <w:t>Creating inclusive environments; training</w:t>
            </w:r>
          </w:p>
          <w:p w14:paraId="32599B9B" w14:textId="77777777" w:rsidR="00355133" w:rsidRPr="002711AB" w:rsidRDefault="00355133" w:rsidP="00355133">
            <w:pPr>
              <w:pStyle w:val="TableParagraph"/>
              <w:numPr>
                <w:ilvl w:val="0"/>
                <w:numId w:val="7"/>
              </w:numPr>
              <w:spacing w:before="0"/>
              <w:ind w:right="173"/>
              <w:rPr>
                <w:rFonts w:asciiTheme="minorHAnsi" w:hAnsiTheme="minorHAnsi" w:cstheme="minorHAnsi"/>
                <w:bCs/>
                <w:iCs/>
                <w:sz w:val="20"/>
                <w:szCs w:val="20"/>
              </w:rPr>
            </w:pPr>
            <w:r w:rsidRPr="00CD0408">
              <w:rPr>
                <w:rFonts w:asciiTheme="minorHAnsi" w:hAnsiTheme="minorHAnsi" w:cstheme="minorHAnsi"/>
                <w:bCs/>
                <w:iCs/>
                <w:sz w:val="20"/>
                <w:szCs w:val="20"/>
              </w:rPr>
              <w:t>Antiracism curriculum for residents, students</w:t>
            </w:r>
          </w:p>
          <w:p w14:paraId="32B36732" w14:textId="77777777" w:rsidR="00355133" w:rsidRPr="002711AB" w:rsidRDefault="00355133" w:rsidP="00355133">
            <w:pPr>
              <w:pStyle w:val="TableParagraph"/>
              <w:numPr>
                <w:ilvl w:val="0"/>
                <w:numId w:val="7"/>
              </w:numPr>
              <w:spacing w:before="0" w:after="40"/>
              <w:ind w:left="547" w:right="173"/>
              <w:rPr>
                <w:rFonts w:asciiTheme="minorHAnsi" w:hAnsiTheme="minorHAnsi" w:cstheme="minorHAnsi"/>
                <w:bCs/>
                <w:iCs/>
                <w:sz w:val="20"/>
                <w:szCs w:val="20"/>
              </w:rPr>
            </w:pPr>
            <w:r w:rsidRPr="002711AB">
              <w:rPr>
                <w:rFonts w:asciiTheme="minorHAnsi" w:hAnsiTheme="minorHAnsi" w:cstheme="minorHAnsi"/>
                <w:bCs/>
                <w:iCs/>
                <w:sz w:val="20"/>
                <w:szCs w:val="20"/>
              </w:rPr>
              <w:t>Policies &amp; processes for P&amp;T, community research, building anchor institution networks</w:t>
            </w:r>
          </w:p>
          <w:p w14:paraId="278AB37F" w14:textId="77777777" w:rsidR="00355133" w:rsidRPr="00CD0408" w:rsidRDefault="00355133" w:rsidP="00AD25D8">
            <w:pPr>
              <w:pStyle w:val="TableParagraph"/>
              <w:spacing w:before="0"/>
              <w:ind w:left="186" w:right="173"/>
              <w:rPr>
                <w:rFonts w:asciiTheme="minorHAnsi" w:hAnsiTheme="minorHAnsi" w:cstheme="minorHAnsi"/>
                <w:bCs/>
                <w:iCs/>
              </w:rPr>
            </w:pPr>
            <w:r w:rsidRPr="00CD0408">
              <w:rPr>
                <w:rFonts w:asciiTheme="minorHAnsi" w:hAnsiTheme="minorHAnsi" w:cstheme="minorHAnsi"/>
                <w:bCs/>
                <w:iCs/>
              </w:rPr>
              <w:t>Creating space for critical conversations, e.g.</w:t>
            </w:r>
          </w:p>
          <w:p w14:paraId="0F14C9CF" w14:textId="77777777" w:rsidR="00355133" w:rsidRPr="00CD0408" w:rsidRDefault="00355133" w:rsidP="00355133">
            <w:pPr>
              <w:pStyle w:val="TableParagraph"/>
              <w:numPr>
                <w:ilvl w:val="0"/>
                <w:numId w:val="8"/>
              </w:numPr>
              <w:spacing w:before="0"/>
              <w:ind w:right="173"/>
              <w:rPr>
                <w:rFonts w:asciiTheme="minorHAnsi" w:hAnsiTheme="minorHAnsi" w:cstheme="minorHAnsi"/>
                <w:bCs/>
                <w:iCs/>
                <w:sz w:val="20"/>
                <w:szCs w:val="20"/>
              </w:rPr>
            </w:pPr>
            <w:r w:rsidRPr="00CD0408">
              <w:rPr>
                <w:rFonts w:asciiTheme="minorHAnsi" w:hAnsiTheme="minorHAnsi" w:cstheme="minorHAnsi"/>
                <w:bCs/>
                <w:iCs/>
                <w:sz w:val="20"/>
                <w:szCs w:val="20"/>
              </w:rPr>
              <w:t>ADFM annual conference session</w:t>
            </w:r>
            <w:r>
              <w:rPr>
                <w:rFonts w:asciiTheme="minorHAnsi" w:hAnsiTheme="minorHAnsi" w:cstheme="minorHAnsi"/>
                <w:bCs/>
                <w:iCs/>
                <w:sz w:val="20"/>
                <w:szCs w:val="20"/>
              </w:rPr>
              <w:t>s</w:t>
            </w:r>
            <w:r w:rsidRPr="00CD0408">
              <w:rPr>
                <w:rFonts w:asciiTheme="minorHAnsi" w:hAnsiTheme="minorHAnsi" w:cstheme="minorHAnsi"/>
                <w:bCs/>
                <w:iCs/>
                <w:sz w:val="20"/>
                <w:szCs w:val="20"/>
              </w:rPr>
              <w:t xml:space="preserve"> on URM, DIHE, antiracism, racial justice</w:t>
            </w:r>
          </w:p>
          <w:p w14:paraId="2B8EC64B" w14:textId="77777777" w:rsidR="00355133" w:rsidRPr="002711AB" w:rsidRDefault="00355133" w:rsidP="00355133">
            <w:pPr>
              <w:pStyle w:val="TableParagraph"/>
              <w:numPr>
                <w:ilvl w:val="0"/>
                <w:numId w:val="8"/>
              </w:numPr>
              <w:spacing w:before="0"/>
              <w:ind w:right="173"/>
              <w:rPr>
                <w:rFonts w:asciiTheme="minorHAnsi" w:hAnsiTheme="minorHAnsi" w:cstheme="minorHAnsi"/>
                <w:bCs/>
                <w:iCs/>
                <w:sz w:val="20"/>
                <w:szCs w:val="20"/>
              </w:rPr>
            </w:pPr>
            <w:r w:rsidRPr="00CD0408">
              <w:rPr>
                <w:rFonts w:asciiTheme="minorHAnsi" w:hAnsiTheme="minorHAnsi" w:cstheme="minorHAnsi"/>
                <w:bCs/>
                <w:iCs/>
                <w:sz w:val="20"/>
                <w:szCs w:val="20"/>
              </w:rPr>
              <w:t>Statements/op-eds, hot topic calls, webinars</w:t>
            </w:r>
          </w:p>
          <w:p w14:paraId="1F59F8A6" w14:textId="77777777" w:rsidR="00355133" w:rsidRPr="002711AB" w:rsidRDefault="00355133" w:rsidP="00355133">
            <w:pPr>
              <w:pStyle w:val="TableParagraph"/>
              <w:numPr>
                <w:ilvl w:val="0"/>
                <w:numId w:val="8"/>
              </w:numPr>
              <w:spacing w:before="0" w:after="40"/>
              <w:ind w:left="547" w:right="173"/>
              <w:rPr>
                <w:rFonts w:asciiTheme="minorHAnsi" w:hAnsiTheme="minorHAnsi" w:cstheme="minorHAnsi"/>
                <w:bCs/>
                <w:iCs/>
                <w:sz w:val="20"/>
                <w:szCs w:val="20"/>
              </w:rPr>
            </w:pPr>
            <w:r w:rsidRPr="002711AB">
              <w:rPr>
                <w:rFonts w:asciiTheme="minorHAnsi" w:hAnsiTheme="minorHAnsi" w:cstheme="minorHAnsi"/>
                <w:bCs/>
                <w:iCs/>
                <w:sz w:val="20"/>
                <w:szCs w:val="20"/>
              </w:rPr>
              <w:t>Weaving DIHE through LEADS and other curricula</w:t>
            </w:r>
          </w:p>
          <w:p w14:paraId="59A4C422" w14:textId="77777777" w:rsidR="00355133" w:rsidRPr="00CD0408" w:rsidRDefault="00355133" w:rsidP="00AD25D8">
            <w:pPr>
              <w:pStyle w:val="TableParagraph"/>
              <w:spacing w:before="0"/>
              <w:ind w:left="186" w:right="173"/>
              <w:rPr>
                <w:rFonts w:asciiTheme="minorHAnsi" w:hAnsiTheme="minorHAnsi" w:cstheme="minorHAnsi"/>
                <w:bCs/>
                <w:iCs/>
              </w:rPr>
            </w:pPr>
            <w:r w:rsidRPr="00CD0408">
              <w:rPr>
                <w:rFonts w:asciiTheme="minorHAnsi" w:hAnsiTheme="minorHAnsi" w:cstheme="minorHAnsi"/>
                <w:bCs/>
                <w:iCs/>
              </w:rPr>
              <w:t xml:space="preserve">Developing active </w:t>
            </w:r>
            <w:r>
              <w:rPr>
                <w:rFonts w:asciiTheme="minorHAnsi" w:hAnsiTheme="minorHAnsi" w:cstheme="minorHAnsi"/>
                <w:bCs/>
                <w:iCs/>
              </w:rPr>
              <w:t xml:space="preserve">&amp; </w:t>
            </w:r>
            <w:r w:rsidRPr="00CD0408">
              <w:rPr>
                <w:rFonts w:asciiTheme="minorHAnsi" w:hAnsiTheme="minorHAnsi" w:cstheme="minorHAnsi"/>
                <w:bCs/>
                <w:iCs/>
              </w:rPr>
              <w:t>activated partnerships, e.g.</w:t>
            </w:r>
          </w:p>
          <w:p w14:paraId="21051F4D" w14:textId="77777777" w:rsidR="00355133" w:rsidRPr="002711AB" w:rsidRDefault="00355133" w:rsidP="00355133">
            <w:pPr>
              <w:pStyle w:val="TableParagraph"/>
              <w:numPr>
                <w:ilvl w:val="0"/>
                <w:numId w:val="9"/>
              </w:numPr>
              <w:spacing w:before="0"/>
              <w:ind w:right="173"/>
              <w:rPr>
                <w:rFonts w:asciiTheme="minorHAnsi" w:hAnsiTheme="minorHAnsi" w:cstheme="minorHAnsi"/>
                <w:bCs/>
                <w:iCs/>
                <w:sz w:val="20"/>
                <w:szCs w:val="20"/>
              </w:rPr>
            </w:pPr>
            <w:r w:rsidRPr="00CD0408">
              <w:rPr>
                <w:rFonts w:asciiTheme="minorHAnsi" w:hAnsiTheme="minorHAnsi" w:cstheme="minorHAnsi"/>
                <w:bCs/>
                <w:iCs/>
                <w:sz w:val="20"/>
                <w:szCs w:val="20"/>
              </w:rPr>
              <w:t>AAMC equity and justice, sister FM organizations</w:t>
            </w:r>
          </w:p>
          <w:p w14:paraId="5C8E835F" w14:textId="77777777" w:rsidR="00355133" w:rsidRPr="00CD0408" w:rsidRDefault="00355133" w:rsidP="00355133">
            <w:pPr>
              <w:pStyle w:val="TableParagraph"/>
              <w:numPr>
                <w:ilvl w:val="0"/>
                <w:numId w:val="9"/>
              </w:numPr>
              <w:spacing w:before="0"/>
              <w:ind w:right="173"/>
              <w:rPr>
                <w:rFonts w:cstheme="minorHAnsi"/>
                <w:bCs/>
                <w:iCs/>
              </w:rPr>
            </w:pPr>
            <w:r w:rsidRPr="002711AB">
              <w:rPr>
                <w:rFonts w:asciiTheme="minorHAnsi" w:hAnsiTheme="minorHAnsi" w:cstheme="minorHAnsi"/>
                <w:bCs/>
                <w:iCs/>
                <w:sz w:val="20"/>
                <w:szCs w:val="20"/>
              </w:rPr>
              <w:t>Broader advocacy, e.g. LCME requirements, Health Equity Index, rankings w diversity metric</w:t>
            </w:r>
          </w:p>
        </w:tc>
        <w:tc>
          <w:tcPr>
            <w:tcW w:w="2970" w:type="dxa"/>
            <w:tcBorders>
              <w:bottom w:val="single" w:sz="4" w:space="0" w:color="000000"/>
            </w:tcBorders>
          </w:tcPr>
          <w:p w14:paraId="6252A867" w14:textId="77777777" w:rsidR="00355133" w:rsidRPr="00934171" w:rsidRDefault="00355133" w:rsidP="005F3737">
            <w:pPr>
              <w:pStyle w:val="TableParagraph"/>
              <w:spacing w:before="0" w:after="60"/>
              <w:ind w:left="101" w:right="82"/>
              <w:rPr>
                <w:rFonts w:asciiTheme="minorHAnsi" w:hAnsiTheme="minorHAnsi" w:cstheme="minorHAnsi"/>
                <w:b/>
                <w:i/>
              </w:rPr>
            </w:pPr>
            <w:r w:rsidRPr="00934171">
              <w:rPr>
                <w:rFonts w:asciiTheme="minorHAnsi" w:hAnsiTheme="minorHAnsi" w:cstheme="minorHAnsi"/>
                <w:b/>
                <w:i/>
              </w:rPr>
              <w:t>Patient diversity, inclusion, and equity</w:t>
            </w:r>
          </w:p>
          <w:p w14:paraId="18136FE8" w14:textId="256BE79F" w:rsidR="00355133" w:rsidRDefault="00355133" w:rsidP="00AD25D8">
            <w:pPr>
              <w:pStyle w:val="TableParagraph"/>
              <w:spacing w:before="0"/>
              <w:ind w:left="176" w:hanging="71"/>
              <w:rPr>
                <w:rFonts w:asciiTheme="minorHAnsi" w:hAnsiTheme="minorHAnsi" w:cstheme="minorHAnsi"/>
                <w:bCs/>
                <w:iCs/>
              </w:rPr>
            </w:pPr>
            <w:r>
              <w:rPr>
                <w:rFonts w:asciiTheme="minorHAnsi" w:hAnsiTheme="minorHAnsi" w:cstheme="minorHAnsi"/>
                <w:b/>
                <w:iCs/>
              </w:rPr>
              <w:t>G</w:t>
            </w:r>
            <w:r w:rsidRPr="00934171">
              <w:rPr>
                <w:rFonts w:asciiTheme="minorHAnsi" w:hAnsiTheme="minorHAnsi" w:cstheme="minorHAnsi"/>
                <w:b/>
                <w:iCs/>
              </w:rPr>
              <w:t>eneral goal</w:t>
            </w:r>
            <w:r>
              <w:rPr>
                <w:rFonts w:asciiTheme="minorHAnsi" w:hAnsiTheme="minorHAnsi" w:cstheme="minorHAnsi"/>
                <w:b/>
                <w:iCs/>
              </w:rPr>
              <w:t>:</w:t>
            </w:r>
            <w:r w:rsidRPr="00934171">
              <w:rPr>
                <w:rFonts w:asciiTheme="minorHAnsi" w:hAnsiTheme="minorHAnsi" w:cstheme="minorHAnsi"/>
                <w:b/>
                <w:iCs/>
              </w:rPr>
              <w:t xml:space="preserve"> </w:t>
            </w:r>
            <w:r>
              <w:rPr>
                <w:rFonts w:asciiTheme="minorHAnsi" w:hAnsiTheme="minorHAnsi" w:cstheme="minorHAnsi"/>
                <w:bCs/>
                <w:iCs/>
              </w:rPr>
              <w:t>R</w:t>
            </w:r>
            <w:r w:rsidRPr="00934171">
              <w:rPr>
                <w:rFonts w:asciiTheme="minorHAnsi" w:hAnsiTheme="minorHAnsi" w:cstheme="minorHAnsi"/>
                <w:bCs/>
                <w:iCs/>
              </w:rPr>
              <w:t>un a care system that is attractive, welcoming, and well-suited to diverse populations—especially th</w:t>
            </w:r>
            <w:r w:rsidR="00FD6FF7">
              <w:rPr>
                <w:rFonts w:asciiTheme="minorHAnsi" w:hAnsiTheme="minorHAnsi" w:cstheme="minorHAnsi"/>
                <w:bCs/>
                <w:iCs/>
              </w:rPr>
              <w:t>ose</w:t>
            </w:r>
            <w:r w:rsidRPr="00934171">
              <w:rPr>
                <w:rFonts w:asciiTheme="minorHAnsi" w:hAnsiTheme="minorHAnsi" w:cstheme="minorHAnsi"/>
                <w:bCs/>
                <w:iCs/>
              </w:rPr>
              <w:t xml:space="preserve"> your system draws from or is in a position to serve. </w:t>
            </w:r>
          </w:p>
          <w:p w14:paraId="3CB8CDC1" w14:textId="5D3C76A1" w:rsidR="00355133" w:rsidRPr="002711AB" w:rsidRDefault="00355133" w:rsidP="00AD25D8">
            <w:pPr>
              <w:pStyle w:val="TableParagraph"/>
              <w:spacing w:before="0"/>
              <w:ind w:left="176" w:hanging="71"/>
              <w:rPr>
                <w:rFonts w:asciiTheme="minorHAnsi" w:hAnsiTheme="minorHAnsi" w:cstheme="minorHAnsi"/>
                <w:bCs/>
                <w:iCs/>
                <w:sz w:val="13"/>
                <w:szCs w:val="13"/>
              </w:rPr>
            </w:pPr>
          </w:p>
          <w:p w14:paraId="18BA40FA" w14:textId="06E991B2" w:rsidR="00355133" w:rsidRPr="00934171" w:rsidRDefault="00355133" w:rsidP="00AD25D8">
            <w:pPr>
              <w:pStyle w:val="TableParagraph"/>
              <w:spacing w:before="0"/>
              <w:ind w:left="186"/>
              <w:rPr>
                <w:rFonts w:asciiTheme="minorHAnsi" w:hAnsiTheme="minorHAnsi" w:cstheme="minorHAnsi"/>
                <w:bCs/>
                <w:iCs/>
              </w:rPr>
            </w:pPr>
            <w:r>
              <w:rPr>
                <w:rFonts w:asciiTheme="minorHAnsi" w:hAnsiTheme="minorHAnsi" w:cstheme="minorHAnsi"/>
                <w:bCs/>
                <w:iCs/>
              </w:rPr>
              <w:t>Includes seeking equity in care delivery research</w:t>
            </w:r>
          </w:p>
        </w:tc>
        <w:tc>
          <w:tcPr>
            <w:tcW w:w="3240" w:type="dxa"/>
            <w:tcBorders>
              <w:bottom w:val="single" w:sz="4" w:space="0" w:color="000000"/>
            </w:tcBorders>
          </w:tcPr>
          <w:p w14:paraId="3C5B84D2" w14:textId="77777777" w:rsidR="00355133" w:rsidRPr="00934171" w:rsidRDefault="00355133" w:rsidP="00AD25D8">
            <w:pPr>
              <w:pStyle w:val="TableParagraph"/>
              <w:spacing w:before="0" w:after="60"/>
              <w:ind w:left="82" w:right="202"/>
              <w:rPr>
                <w:rFonts w:asciiTheme="minorHAnsi" w:hAnsiTheme="minorHAnsi" w:cstheme="minorHAnsi"/>
                <w:b/>
                <w:i/>
              </w:rPr>
            </w:pPr>
            <w:r w:rsidRPr="00934171">
              <w:rPr>
                <w:rFonts w:asciiTheme="minorHAnsi" w:hAnsiTheme="minorHAnsi" w:cstheme="minorHAnsi"/>
                <w:b/>
                <w:i/>
              </w:rPr>
              <w:t>Workforce diversity, inclusion, and equity</w:t>
            </w:r>
          </w:p>
          <w:p w14:paraId="1E034981" w14:textId="77777777" w:rsidR="00355133" w:rsidRDefault="00355133" w:rsidP="00AD25D8">
            <w:pPr>
              <w:pStyle w:val="TableParagraph"/>
              <w:spacing w:before="0"/>
              <w:ind w:left="267" w:right="80" w:hanging="162"/>
              <w:rPr>
                <w:rFonts w:asciiTheme="minorHAnsi" w:hAnsiTheme="minorHAnsi" w:cstheme="minorHAnsi"/>
                <w:bCs/>
                <w:iCs/>
              </w:rPr>
            </w:pPr>
            <w:r>
              <w:rPr>
                <w:rFonts w:asciiTheme="minorHAnsi" w:hAnsiTheme="minorHAnsi" w:cstheme="minorHAnsi"/>
                <w:b/>
                <w:iCs/>
              </w:rPr>
              <w:t>G</w:t>
            </w:r>
            <w:r w:rsidRPr="00934171">
              <w:rPr>
                <w:rFonts w:asciiTheme="minorHAnsi" w:hAnsiTheme="minorHAnsi" w:cstheme="minorHAnsi"/>
                <w:b/>
                <w:iCs/>
              </w:rPr>
              <w:t>eneral goal</w:t>
            </w:r>
            <w:r>
              <w:rPr>
                <w:rFonts w:asciiTheme="minorHAnsi" w:hAnsiTheme="minorHAnsi" w:cstheme="minorHAnsi"/>
                <w:b/>
                <w:iCs/>
              </w:rPr>
              <w:t>:</w:t>
            </w:r>
            <w:r w:rsidRPr="00934171">
              <w:rPr>
                <w:rFonts w:asciiTheme="minorHAnsi" w:hAnsiTheme="minorHAnsi" w:cstheme="minorHAnsi"/>
                <w:b/>
                <w:iCs/>
              </w:rPr>
              <w:t xml:space="preserve"> </w:t>
            </w:r>
            <w:r>
              <w:rPr>
                <w:rFonts w:asciiTheme="minorHAnsi" w:hAnsiTheme="minorHAnsi" w:cstheme="minorHAnsi"/>
                <w:bCs/>
                <w:iCs/>
              </w:rPr>
              <w:t>R</w:t>
            </w:r>
            <w:r w:rsidRPr="00934171">
              <w:rPr>
                <w:rFonts w:asciiTheme="minorHAnsi" w:hAnsiTheme="minorHAnsi" w:cstheme="minorHAnsi"/>
                <w:bCs/>
                <w:iCs/>
              </w:rPr>
              <w:t>un a department or organization in which everyone can seek and has a fair chance to gain employment and want to stay—without prejudice of race / ethnicity, culture, etc.</w:t>
            </w:r>
          </w:p>
          <w:p w14:paraId="7F278BD6" w14:textId="77777777" w:rsidR="00355133" w:rsidRPr="002711AB" w:rsidRDefault="00355133" w:rsidP="00AD25D8">
            <w:pPr>
              <w:pStyle w:val="TableParagraph"/>
              <w:spacing w:before="0"/>
              <w:ind w:left="267" w:right="208" w:hanging="162"/>
              <w:rPr>
                <w:rFonts w:asciiTheme="minorHAnsi" w:hAnsiTheme="minorHAnsi" w:cstheme="minorHAnsi"/>
                <w:bCs/>
                <w:iCs/>
                <w:sz w:val="13"/>
                <w:szCs w:val="13"/>
              </w:rPr>
            </w:pPr>
          </w:p>
          <w:p w14:paraId="2B2C96DE" w14:textId="77777777" w:rsidR="00355133" w:rsidRPr="00934171" w:rsidRDefault="00355133" w:rsidP="00AD25D8">
            <w:pPr>
              <w:pStyle w:val="TableParagraph"/>
              <w:spacing w:before="0"/>
              <w:ind w:left="182" w:right="208"/>
              <w:rPr>
                <w:rFonts w:asciiTheme="minorHAnsi" w:hAnsiTheme="minorHAnsi" w:cstheme="minorHAnsi"/>
                <w:bCs/>
                <w:iCs/>
              </w:rPr>
            </w:pPr>
            <w:r>
              <w:rPr>
                <w:rFonts w:asciiTheme="minorHAnsi" w:hAnsiTheme="minorHAnsi" w:cstheme="minorHAnsi"/>
                <w:bCs/>
                <w:iCs/>
              </w:rPr>
              <w:t>Includes s</w:t>
            </w:r>
            <w:r w:rsidRPr="002711AB">
              <w:rPr>
                <w:rFonts w:asciiTheme="minorHAnsi" w:hAnsiTheme="minorHAnsi" w:cstheme="minorHAnsi"/>
                <w:bCs/>
                <w:iCs/>
              </w:rPr>
              <w:t>eeking equity in the research workforce</w:t>
            </w:r>
          </w:p>
        </w:tc>
        <w:tc>
          <w:tcPr>
            <w:tcW w:w="3060" w:type="dxa"/>
            <w:tcBorders>
              <w:bottom w:val="single" w:sz="4" w:space="0" w:color="000000"/>
            </w:tcBorders>
          </w:tcPr>
          <w:p w14:paraId="68A47B84" w14:textId="77777777" w:rsidR="00355133" w:rsidRPr="00934171" w:rsidRDefault="00355133" w:rsidP="00AD25D8">
            <w:pPr>
              <w:pStyle w:val="TableParagraph"/>
              <w:spacing w:before="0" w:after="60"/>
              <w:ind w:left="115"/>
              <w:rPr>
                <w:rFonts w:asciiTheme="minorHAnsi" w:hAnsiTheme="minorHAnsi" w:cstheme="minorHAnsi"/>
                <w:b/>
                <w:i/>
              </w:rPr>
            </w:pPr>
            <w:r w:rsidRPr="00934171">
              <w:rPr>
                <w:rFonts w:asciiTheme="minorHAnsi" w:hAnsiTheme="minorHAnsi" w:cstheme="minorHAnsi"/>
                <w:b/>
                <w:i/>
                <w:w w:val="95"/>
              </w:rPr>
              <w:t>Learner diversity, inclusion, and equity</w:t>
            </w:r>
          </w:p>
          <w:p w14:paraId="092371FD" w14:textId="77777777" w:rsidR="00355133" w:rsidRDefault="00355133" w:rsidP="00AD25D8">
            <w:pPr>
              <w:pStyle w:val="TableParagraph"/>
              <w:spacing w:before="0"/>
              <w:ind w:left="267" w:right="88" w:hanging="162"/>
              <w:rPr>
                <w:rFonts w:asciiTheme="minorHAnsi" w:hAnsiTheme="minorHAnsi" w:cstheme="minorHAnsi"/>
                <w:bCs/>
                <w:iCs/>
              </w:rPr>
            </w:pPr>
            <w:r>
              <w:rPr>
                <w:rFonts w:asciiTheme="minorHAnsi" w:hAnsiTheme="minorHAnsi" w:cstheme="minorHAnsi"/>
                <w:b/>
                <w:iCs/>
              </w:rPr>
              <w:t>G</w:t>
            </w:r>
            <w:r w:rsidRPr="00934171">
              <w:rPr>
                <w:rFonts w:asciiTheme="minorHAnsi" w:hAnsiTheme="minorHAnsi" w:cstheme="minorHAnsi"/>
                <w:b/>
                <w:iCs/>
              </w:rPr>
              <w:t>eneral goal</w:t>
            </w:r>
            <w:r>
              <w:rPr>
                <w:rFonts w:asciiTheme="minorHAnsi" w:hAnsiTheme="minorHAnsi" w:cstheme="minorHAnsi"/>
                <w:b/>
                <w:iCs/>
              </w:rPr>
              <w:t>:</w:t>
            </w:r>
            <w:r w:rsidRPr="00934171">
              <w:rPr>
                <w:rFonts w:asciiTheme="minorHAnsi" w:hAnsiTheme="minorHAnsi" w:cstheme="minorHAnsi"/>
                <w:b/>
                <w:iCs/>
              </w:rPr>
              <w:t xml:space="preserve"> </w:t>
            </w:r>
            <w:r>
              <w:rPr>
                <w:rFonts w:asciiTheme="minorHAnsi" w:hAnsiTheme="minorHAnsi" w:cstheme="minorHAnsi"/>
                <w:bCs/>
                <w:iCs/>
              </w:rPr>
              <w:t>R</w:t>
            </w:r>
            <w:r w:rsidRPr="00934171">
              <w:rPr>
                <w:rFonts w:asciiTheme="minorHAnsi" w:hAnsiTheme="minorHAnsi" w:cstheme="minorHAnsi"/>
                <w:bCs/>
                <w:iCs/>
              </w:rPr>
              <w:t xml:space="preserve">un a learning institution in which everyone can apply and has a fair chance of acceptance, inclusion, and appropriate training without prejudice of race / ethnicity, culture etc. </w:t>
            </w:r>
          </w:p>
          <w:p w14:paraId="2FD8B421" w14:textId="77777777" w:rsidR="00355133" w:rsidRPr="002711AB" w:rsidRDefault="00355133" w:rsidP="00AD25D8">
            <w:pPr>
              <w:pStyle w:val="TableParagraph"/>
              <w:spacing w:before="0"/>
              <w:ind w:left="267" w:right="208" w:hanging="162"/>
              <w:rPr>
                <w:rFonts w:asciiTheme="minorHAnsi" w:hAnsiTheme="minorHAnsi" w:cstheme="minorHAnsi"/>
                <w:bCs/>
                <w:iCs/>
                <w:sz w:val="13"/>
                <w:szCs w:val="13"/>
              </w:rPr>
            </w:pPr>
          </w:p>
          <w:p w14:paraId="278318D3" w14:textId="09D08E8A" w:rsidR="00355133" w:rsidRPr="00934171" w:rsidRDefault="00355133" w:rsidP="00AD25D8">
            <w:pPr>
              <w:pStyle w:val="TableParagraph"/>
              <w:spacing w:before="0"/>
              <w:ind w:left="267" w:right="208" w:firstLine="13"/>
              <w:rPr>
                <w:rFonts w:asciiTheme="minorHAnsi" w:hAnsiTheme="minorHAnsi" w:cstheme="minorHAnsi"/>
                <w:bCs/>
                <w:iCs/>
              </w:rPr>
            </w:pPr>
            <w:r>
              <w:rPr>
                <w:rFonts w:asciiTheme="minorHAnsi" w:hAnsiTheme="minorHAnsi" w:cstheme="minorHAnsi"/>
                <w:bCs/>
                <w:iCs/>
              </w:rPr>
              <w:t>Includes e</w:t>
            </w:r>
            <w:r w:rsidRPr="002711AB">
              <w:rPr>
                <w:rFonts w:asciiTheme="minorHAnsi" w:hAnsiTheme="minorHAnsi" w:cstheme="minorHAnsi"/>
                <w:bCs/>
                <w:iCs/>
              </w:rPr>
              <w:t>ngaging diverse learners in res</w:t>
            </w:r>
            <w:r w:rsidR="00C04B12">
              <w:rPr>
                <w:rFonts w:asciiTheme="minorHAnsi" w:hAnsiTheme="minorHAnsi" w:cstheme="minorHAnsi"/>
                <w:bCs/>
                <w:iCs/>
              </w:rPr>
              <w:t>.</w:t>
            </w:r>
            <w:r w:rsidRPr="002711AB">
              <w:rPr>
                <w:rFonts w:asciiTheme="minorHAnsi" w:hAnsiTheme="minorHAnsi" w:cstheme="minorHAnsi"/>
                <w:bCs/>
                <w:iCs/>
              </w:rPr>
              <w:t xml:space="preserve"> enterprise</w:t>
            </w:r>
            <w:r>
              <w:rPr>
                <w:rFonts w:asciiTheme="minorHAnsi" w:hAnsiTheme="minorHAnsi" w:cstheme="minorHAnsi"/>
                <w:bCs/>
                <w:iCs/>
              </w:rPr>
              <w:t xml:space="preserve"> and equity issues in research</w:t>
            </w:r>
          </w:p>
        </w:tc>
      </w:tr>
      <w:tr w:rsidR="00FD6FF7" w:rsidRPr="00FD6FF7" w14:paraId="54593365" w14:textId="77777777" w:rsidTr="00174334">
        <w:trPr>
          <w:trHeight w:val="4517"/>
        </w:trPr>
        <w:tc>
          <w:tcPr>
            <w:tcW w:w="5490" w:type="dxa"/>
            <w:vMerge/>
            <w:tcBorders>
              <w:bottom w:val="single" w:sz="4" w:space="0" w:color="auto"/>
            </w:tcBorders>
          </w:tcPr>
          <w:p w14:paraId="4ADFA1E5" w14:textId="77777777" w:rsidR="00355133" w:rsidRPr="00CD0408" w:rsidRDefault="00355133" w:rsidP="00AD25D8">
            <w:pPr>
              <w:pStyle w:val="TableParagraph"/>
              <w:spacing w:before="0"/>
              <w:ind w:left="101" w:right="173"/>
              <w:rPr>
                <w:rFonts w:asciiTheme="minorHAnsi" w:hAnsiTheme="minorHAnsi" w:cstheme="minorHAnsi"/>
                <w:bCs/>
                <w:iCs/>
              </w:rPr>
            </w:pPr>
          </w:p>
        </w:tc>
        <w:tc>
          <w:tcPr>
            <w:tcW w:w="2970" w:type="dxa"/>
            <w:tcBorders>
              <w:bottom w:val="single" w:sz="4" w:space="0" w:color="auto"/>
              <w:right w:val="dashed" w:sz="4" w:space="0" w:color="000000"/>
            </w:tcBorders>
          </w:tcPr>
          <w:p w14:paraId="00529CA5" w14:textId="08EF8EC9" w:rsidR="004B26D9" w:rsidRDefault="004B26D9" w:rsidP="00AD25D8">
            <w:pPr>
              <w:pStyle w:val="TableParagraph"/>
              <w:spacing w:before="0" w:after="60"/>
              <w:ind w:left="101"/>
              <w:rPr>
                <w:rFonts w:asciiTheme="minorHAnsi" w:hAnsiTheme="minorHAnsi" w:cstheme="minorHAnsi"/>
                <w:bCs/>
                <w:iCs/>
              </w:rPr>
            </w:pPr>
          </w:p>
          <w:p w14:paraId="4C82685C" w14:textId="77777777" w:rsidR="004B26D9" w:rsidRPr="004B26D9" w:rsidRDefault="004B26D9" w:rsidP="004B26D9"/>
          <w:p w14:paraId="586F8307" w14:textId="77777777" w:rsidR="004B26D9" w:rsidRPr="004B26D9" w:rsidRDefault="004B26D9" w:rsidP="004B26D9"/>
          <w:p w14:paraId="034B3F57" w14:textId="77777777" w:rsidR="004B26D9" w:rsidRPr="004B26D9" w:rsidRDefault="004B26D9" w:rsidP="004B26D9"/>
          <w:p w14:paraId="6BEC41D5" w14:textId="77777777" w:rsidR="004B26D9" w:rsidRPr="004B26D9" w:rsidRDefault="004B26D9" w:rsidP="004B26D9"/>
          <w:p w14:paraId="4B6E1DE9" w14:textId="77777777" w:rsidR="004B26D9" w:rsidRPr="004B26D9" w:rsidRDefault="004B26D9" w:rsidP="004B26D9"/>
          <w:p w14:paraId="6945718F" w14:textId="61A67F4A" w:rsidR="00355133" w:rsidRPr="004B26D9" w:rsidRDefault="00355133" w:rsidP="004B26D9">
            <w:pPr>
              <w:jc w:val="center"/>
            </w:pPr>
          </w:p>
        </w:tc>
        <w:tc>
          <w:tcPr>
            <w:tcW w:w="3240" w:type="dxa"/>
            <w:tcBorders>
              <w:left w:val="dashed" w:sz="4" w:space="0" w:color="000000"/>
              <w:bottom w:val="single" w:sz="4" w:space="0" w:color="auto"/>
              <w:right w:val="dashed" w:sz="4" w:space="0" w:color="000000"/>
            </w:tcBorders>
          </w:tcPr>
          <w:p w14:paraId="7C50203B" w14:textId="385A9DDE" w:rsidR="00355133" w:rsidRPr="007639E9" w:rsidRDefault="00554005" w:rsidP="00AD25D8">
            <w:pPr>
              <w:pStyle w:val="TableParagraph"/>
              <w:spacing w:before="0" w:after="60" w:line="254" w:lineRule="auto"/>
              <w:ind w:left="173" w:right="202" w:hanging="72"/>
              <w:rPr>
                <w:rFonts w:asciiTheme="minorHAnsi" w:hAnsiTheme="minorHAnsi" w:cstheme="minorHAnsi"/>
                <w:bCs/>
                <w:iCs/>
              </w:rPr>
            </w:pPr>
            <w:r>
              <w:rPr>
                <w:rFonts w:asciiTheme="minorHAnsi" w:hAnsiTheme="minorHAnsi" w:cstheme="minorHAnsi"/>
                <w:bCs/>
                <w:iCs/>
                <w:noProof/>
              </w:rPr>
              <mc:AlternateContent>
                <mc:Choice Requires="wps">
                  <w:drawing>
                    <wp:anchor distT="0" distB="0" distL="114300" distR="114300" simplePos="0" relativeHeight="251659264" behindDoc="0" locked="0" layoutInCell="1" allowOverlap="1" wp14:anchorId="41157F88" wp14:editId="613DEB20">
                      <wp:simplePos x="0" y="0"/>
                      <wp:positionH relativeFrom="column">
                        <wp:posOffset>-1745615</wp:posOffset>
                      </wp:positionH>
                      <wp:positionV relativeFrom="paragraph">
                        <wp:posOffset>77470</wp:posOffset>
                      </wp:positionV>
                      <wp:extent cx="5699760" cy="66040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699760" cy="660400"/>
                              </a:xfrm>
                              <a:prstGeom prst="rect">
                                <a:avLst/>
                              </a:prstGeom>
                              <a:solidFill>
                                <a:schemeClr val="lt1"/>
                              </a:solidFill>
                              <a:ln w="6350">
                                <a:noFill/>
                              </a:ln>
                            </wps:spPr>
                            <wps:txbx>
                              <w:txbxContent>
                                <w:p w14:paraId="7655C4D6" w14:textId="4870C0CB" w:rsidR="00355133" w:rsidRDefault="00355133" w:rsidP="00355133">
                                  <w:pPr>
                                    <w:rPr>
                                      <w:b/>
                                      <w:bCs/>
                                    </w:rPr>
                                  </w:pPr>
                                  <w:r w:rsidRPr="007639E9">
                                    <w:rPr>
                                      <w:b/>
                                      <w:bCs/>
                                    </w:rPr>
                                    <w:t>Jot down</w:t>
                                  </w:r>
                                  <w:r>
                                    <w:rPr>
                                      <w:b/>
                                      <w:bCs/>
                                    </w:rPr>
                                    <w:t xml:space="preserve"> here the</w:t>
                                  </w:r>
                                  <w:r w:rsidRPr="007639E9">
                                    <w:rPr>
                                      <w:b/>
                                      <w:bCs/>
                                    </w:rPr>
                                    <w:t xml:space="preserve"> antiracism actions you will take in your own department</w:t>
                                  </w:r>
                                </w:p>
                                <w:p w14:paraId="6FC64F3F" w14:textId="316A3436" w:rsidR="00C04B12" w:rsidRPr="00C04B12" w:rsidRDefault="00C04B12" w:rsidP="00C04B12">
                                  <w:pPr>
                                    <w:ind w:left="180"/>
                                  </w:pPr>
                                  <w:r w:rsidRPr="00C04B12">
                                    <w:rPr>
                                      <w:i/>
                                      <w:iCs/>
                                    </w:rPr>
                                    <w:t>Ask yourself:</w:t>
                                  </w:r>
                                  <w:r>
                                    <w:t xml:space="preserve"> First, w</w:t>
                                  </w:r>
                                  <w:r w:rsidRPr="00C04B12">
                                    <w:t>here do you stand no</w:t>
                                  </w:r>
                                  <w:r>
                                    <w:t>w--</w:t>
                                  </w:r>
                                  <w:r w:rsidRPr="00C04B12">
                                    <w:t>your top growth or developmental area?</w:t>
                                  </w:r>
                                  <w:r>
                                    <w:t xml:space="preserve"> Then, w</w:t>
                                  </w:r>
                                  <w:r w:rsidRPr="00C04B12">
                                    <w:t>hat will you do and how will you start?</w:t>
                                  </w:r>
                                </w:p>
                                <w:p w14:paraId="28A101B1" w14:textId="25DB2644" w:rsidR="00C04B12" w:rsidRPr="00C04B12" w:rsidRDefault="00C04B12" w:rsidP="00355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157F88" id="Text Box 1" o:spid="_x0000_s1027" type="#_x0000_t202" style="position:absolute;left:0;text-align:left;margin-left:-137.45pt;margin-top:6.1pt;width:448.8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" fillcolor="white [3201]" stroked="f" strokeweight=".5pt">
                      <v:textbox>
                        <w:txbxContent>
                          <w:p w14:paraId="7655C4D6" w14:textId="4870C0CB" w:rsidR="00355133" w:rsidRDefault="00355133" w:rsidP="00355133">
                            <w:pPr>
                              <w:rPr>
                                <w:b/>
                                <w:bCs/>
                              </w:rPr>
                            </w:pPr>
                            <w:r w:rsidRPr="007639E9">
                              <w:rPr>
                                <w:b/>
                                <w:bCs/>
                              </w:rPr>
                              <w:t>Jot down</w:t>
                            </w:r>
                            <w:r>
                              <w:rPr>
                                <w:b/>
                                <w:bCs/>
                              </w:rPr>
                              <w:t xml:space="preserve"> here the</w:t>
                            </w:r>
                            <w:r w:rsidRPr="007639E9">
                              <w:rPr>
                                <w:b/>
                                <w:bCs/>
                              </w:rPr>
                              <w:t xml:space="preserve"> antiracism actions you will take in your own department</w:t>
                            </w:r>
                          </w:p>
                          <w:p w14:paraId="6FC64F3F" w14:textId="316A3436" w:rsidR="00C04B12" w:rsidRPr="00C04B12" w:rsidRDefault="00C04B12" w:rsidP="00C04B12">
                            <w:pPr>
                              <w:ind w:left="180"/>
                            </w:pPr>
                            <w:r w:rsidRPr="00C04B12">
                              <w:rPr>
                                <w:i/>
                                <w:iCs/>
                              </w:rPr>
                              <w:t>Ask yourself:</w:t>
                            </w:r>
                            <w:r>
                              <w:t xml:space="preserve"> First, w</w:t>
                            </w:r>
                            <w:r w:rsidRPr="00C04B12">
                              <w:t>here do you stand no</w:t>
                            </w:r>
                            <w:r>
                              <w:t>w--</w:t>
                            </w:r>
                            <w:r w:rsidRPr="00C04B12">
                              <w:t>your top growth or developmental area?</w:t>
                            </w:r>
                            <w:r>
                              <w:t xml:space="preserve"> Then, w</w:t>
                            </w:r>
                            <w:r w:rsidRPr="00C04B12">
                              <w:t>hat will you do and how will you start?</w:t>
                            </w:r>
                          </w:p>
                          <w:p w14:paraId="28A101B1" w14:textId="25DB2644" w:rsidR="00C04B12" w:rsidRPr="00C04B12" w:rsidRDefault="00C04B12" w:rsidP="00355133"/>
                        </w:txbxContent>
                      </v:textbox>
                    </v:shape>
                  </w:pict>
                </mc:Fallback>
              </mc:AlternateContent>
            </w:r>
          </w:p>
        </w:tc>
        <w:tc>
          <w:tcPr>
            <w:tcW w:w="3060" w:type="dxa"/>
            <w:tcBorders>
              <w:left w:val="dashed" w:sz="4" w:space="0" w:color="000000"/>
              <w:bottom w:val="single" w:sz="4" w:space="0" w:color="auto"/>
            </w:tcBorders>
          </w:tcPr>
          <w:p w14:paraId="28F183C7" w14:textId="4FD1AB42" w:rsidR="00355133" w:rsidRPr="007639E9" w:rsidRDefault="00355133" w:rsidP="00AD25D8">
            <w:pPr>
              <w:pStyle w:val="TableParagraph"/>
              <w:spacing w:before="0" w:after="60"/>
              <w:ind w:left="115"/>
              <w:rPr>
                <w:rFonts w:asciiTheme="minorHAnsi" w:hAnsiTheme="minorHAnsi" w:cstheme="minorHAnsi"/>
                <w:bCs/>
                <w:iCs/>
                <w:w w:val="95"/>
              </w:rPr>
            </w:pPr>
          </w:p>
        </w:tc>
      </w:tr>
    </w:tbl>
    <w:p w14:paraId="59C7480C" w14:textId="2C48B183" w:rsidR="003558B6" w:rsidRPr="005F3737" w:rsidRDefault="003558B6">
      <w:pPr>
        <w:rPr>
          <w:sz w:val="10"/>
          <w:szCs w:val="10"/>
        </w:rPr>
      </w:pPr>
    </w:p>
    <w:sectPr w:rsidR="003558B6" w:rsidRPr="005F3737" w:rsidSect="00200C50">
      <w:footerReference w:type="even" r:id="rId7"/>
      <w:footerReference w:type="default" r:id="rId8"/>
      <w:pgSz w:w="15840" w:h="12240" w:orient="landscape"/>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9B7F4" w14:textId="77777777" w:rsidR="003C5402" w:rsidRDefault="003C5402" w:rsidP="005F3737">
      <w:r>
        <w:separator/>
      </w:r>
    </w:p>
  </w:endnote>
  <w:endnote w:type="continuationSeparator" w:id="0">
    <w:p w14:paraId="5DD765F9" w14:textId="77777777" w:rsidR="003C5402" w:rsidRDefault="003C5402" w:rsidP="005F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0452750"/>
      <w:docPartObj>
        <w:docPartGallery w:val="Page Numbers (Bottom of Page)"/>
        <w:docPartUnique/>
      </w:docPartObj>
    </w:sdtPr>
    <w:sdtEndPr>
      <w:rPr>
        <w:rStyle w:val="PageNumber"/>
      </w:rPr>
    </w:sdtEndPr>
    <w:sdtContent>
      <w:p w14:paraId="1C88FFD7" w14:textId="77777777" w:rsidR="00CD0408" w:rsidRDefault="00236702" w:rsidP="000855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CB9B2B" w14:textId="77777777" w:rsidR="00CD0408" w:rsidRDefault="003C5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FE7F" w14:textId="78028483" w:rsidR="00CD0408" w:rsidRDefault="003C5402" w:rsidP="00085592">
    <w:pPr>
      <w:pStyle w:val="Footer"/>
      <w:framePr w:wrap="none" w:vAnchor="text" w:hAnchor="margin" w:xAlign="center" w:y="1"/>
      <w:rPr>
        <w:rStyle w:val="PageNumber"/>
      </w:rPr>
    </w:pPr>
  </w:p>
  <w:p w14:paraId="126F0EA7" w14:textId="77777777" w:rsidR="00CD0408" w:rsidRDefault="003C5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06DC6" w14:textId="77777777" w:rsidR="003C5402" w:rsidRDefault="003C5402" w:rsidP="005F3737">
      <w:r>
        <w:separator/>
      </w:r>
    </w:p>
  </w:footnote>
  <w:footnote w:type="continuationSeparator" w:id="0">
    <w:p w14:paraId="56AF13AF" w14:textId="77777777" w:rsidR="003C5402" w:rsidRDefault="003C5402" w:rsidP="005F3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FEA"/>
    <w:multiLevelType w:val="hybridMultilevel"/>
    <w:tmpl w:val="513CFF0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6372916"/>
    <w:multiLevelType w:val="hybridMultilevel"/>
    <w:tmpl w:val="CCCE7034"/>
    <w:lvl w:ilvl="0" w:tplc="04090001">
      <w:start w:val="1"/>
      <w:numFmt w:val="bullet"/>
      <w:lvlText w:val=""/>
      <w:lvlJc w:val="left"/>
      <w:pPr>
        <w:ind w:left="546" w:hanging="360"/>
      </w:pPr>
      <w:rPr>
        <w:rFonts w:ascii="Symbol" w:hAnsi="Symbol" w:hint="default"/>
      </w:rPr>
    </w:lvl>
    <w:lvl w:ilvl="1" w:tplc="04090003" w:tentative="1">
      <w:start w:val="1"/>
      <w:numFmt w:val="bullet"/>
      <w:lvlText w:val="o"/>
      <w:lvlJc w:val="left"/>
      <w:pPr>
        <w:ind w:left="1266" w:hanging="360"/>
      </w:pPr>
      <w:rPr>
        <w:rFonts w:ascii="Courier New" w:hAnsi="Courier New" w:cs="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cs="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cs="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2" w15:restartNumberingAfterBreak="0">
    <w:nsid w:val="0C4D1862"/>
    <w:multiLevelType w:val="hybridMultilevel"/>
    <w:tmpl w:val="48E28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17477D"/>
    <w:multiLevelType w:val="hybridMultilevel"/>
    <w:tmpl w:val="76B69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2C7663"/>
    <w:multiLevelType w:val="hybridMultilevel"/>
    <w:tmpl w:val="E750A1AC"/>
    <w:lvl w:ilvl="0" w:tplc="04090001">
      <w:start w:val="1"/>
      <w:numFmt w:val="bullet"/>
      <w:lvlText w:val=""/>
      <w:lvlJc w:val="left"/>
      <w:pPr>
        <w:ind w:left="546" w:hanging="360"/>
      </w:pPr>
      <w:rPr>
        <w:rFonts w:ascii="Symbol" w:hAnsi="Symbol" w:hint="default"/>
      </w:rPr>
    </w:lvl>
    <w:lvl w:ilvl="1" w:tplc="04090003" w:tentative="1">
      <w:start w:val="1"/>
      <w:numFmt w:val="bullet"/>
      <w:lvlText w:val="o"/>
      <w:lvlJc w:val="left"/>
      <w:pPr>
        <w:ind w:left="1266" w:hanging="360"/>
      </w:pPr>
      <w:rPr>
        <w:rFonts w:ascii="Courier New" w:hAnsi="Courier New" w:cs="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cs="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cs="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5" w15:restartNumberingAfterBreak="0">
    <w:nsid w:val="1F780310"/>
    <w:multiLevelType w:val="hybridMultilevel"/>
    <w:tmpl w:val="78549E40"/>
    <w:lvl w:ilvl="0" w:tplc="04090001">
      <w:start w:val="1"/>
      <w:numFmt w:val="bullet"/>
      <w:lvlText w:val=""/>
      <w:lvlJc w:val="left"/>
      <w:pPr>
        <w:ind w:left="546" w:hanging="360"/>
      </w:pPr>
      <w:rPr>
        <w:rFonts w:ascii="Symbol" w:hAnsi="Symbol" w:hint="default"/>
      </w:rPr>
    </w:lvl>
    <w:lvl w:ilvl="1" w:tplc="04090003" w:tentative="1">
      <w:start w:val="1"/>
      <w:numFmt w:val="bullet"/>
      <w:lvlText w:val="o"/>
      <w:lvlJc w:val="left"/>
      <w:pPr>
        <w:ind w:left="1266" w:hanging="360"/>
      </w:pPr>
      <w:rPr>
        <w:rFonts w:ascii="Courier New" w:hAnsi="Courier New" w:cs="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cs="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cs="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6" w15:restartNumberingAfterBreak="0">
    <w:nsid w:val="21BF4DD9"/>
    <w:multiLevelType w:val="hybridMultilevel"/>
    <w:tmpl w:val="6AB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014D2"/>
    <w:multiLevelType w:val="hybridMultilevel"/>
    <w:tmpl w:val="D2D49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DE79FB"/>
    <w:multiLevelType w:val="hybridMultilevel"/>
    <w:tmpl w:val="10946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E087D"/>
    <w:multiLevelType w:val="hybridMultilevel"/>
    <w:tmpl w:val="AF5AA08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0"/>
  </w:num>
  <w:num w:numId="4">
    <w:abstractNumId w:val="2"/>
  </w:num>
  <w:num w:numId="5">
    <w:abstractNumId w:val="7"/>
  </w:num>
  <w:num w:numId="6">
    <w:abstractNumId w:val="3"/>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99"/>
    <w:rsid w:val="000018D6"/>
    <w:rsid w:val="00057DB9"/>
    <w:rsid w:val="00170378"/>
    <w:rsid w:val="00174334"/>
    <w:rsid w:val="00236702"/>
    <w:rsid w:val="002A5617"/>
    <w:rsid w:val="003257B2"/>
    <w:rsid w:val="00355133"/>
    <w:rsid w:val="003558B6"/>
    <w:rsid w:val="003C5402"/>
    <w:rsid w:val="003F20AF"/>
    <w:rsid w:val="00477BB1"/>
    <w:rsid w:val="004B26D9"/>
    <w:rsid w:val="00554005"/>
    <w:rsid w:val="005C791B"/>
    <w:rsid w:val="005D6CFB"/>
    <w:rsid w:val="005F3737"/>
    <w:rsid w:val="00685399"/>
    <w:rsid w:val="006A4314"/>
    <w:rsid w:val="007936FA"/>
    <w:rsid w:val="00810647"/>
    <w:rsid w:val="009A5DF0"/>
    <w:rsid w:val="00AC7E2F"/>
    <w:rsid w:val="00C04B12"/>
    <w:rsid w:val="00D619B1"/>
    <w:rsid w:val="00EC2DB4"/>
    <w:rsid w:val="00EE2927"/>
    <w:rsid w:val="00EE587B"/>
    <w:rsid w:val="00F510B4"/>
    <w:rsid w:val="00FD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5276"/>
  <w15:chartTrackingRefBased/>
  <w15:docId w15:val="{9734693F-8923-924F-8C0B-E18331F9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99"/>
    <w:pPr>
      <w:ind w:left="720"/>
      <w:contextualSpacing/>
    </w:pPr>
  </w:style>
  <w:style w:type="table" w:styleId="TableGrid">
    <w:name w:val="Table Grid"/>
    <w:basedOn w:val="TableNormal"/>
    <w:uiPriority w:val="39"/>
    <w:rsid w:val="00685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5133"/>
    <w:pPr>
      <w:widowControl w:val="0"/>
      <w:autoSpaceDE w:val="0"/>
      <w:autoSpaceDN w:val="0"/>
      <w:spacing w:before="4"/>
      <w:ind w:left="110"/>
    </w:pPr>
    <w:rPr>
      <w:rFonts w:ascii="Arial" w:eastAsia="Arial" w:hAnsi="Arial" w:cs="Arial"/>
      <w:sz w:val="22"/>
      <w:szCs w:val="22"/>
    </w:rPr>
  </w:style>
  <w:style w:type="paragraph" w:styleId="Footer">
    <w:name w:val="footer"/>
    <w:basedOn w:val="Normal"/>
    <w:link w:val="FooterChar"/>
    <w:uiPriority w:val="99"/>
    <w:unhideWhenUsed/>
    <w:rsid w:val="00355133"/>
    <w:pPr>
      <w:widowControl w:val="0"/>
      <w:tabs>
        <w:tab w:val="center" w:pos="4680"/>
        <w:tab w:val="right" w:pos="9360"/>
      </w:tabs>
      <w:autoSpaceDE w:val="0"/>
      <w:autoSpaceDN w:val="0"/>
    </w:pPr>
    <w:rPr>
      <w:rFonts w:ascii="Arial" w:eastAsia="Arial" w:hAnsi="Arial" w:cs="Arial"/>
      <w:sz w:val="22"/>
      <w:szCs w:val="22"/>
    </w:rPr>
  </w:style>
  <w:style w:type="character" w:customStyle="1" w:styleId="FooterChar">
    <w:name w:val="Footer Char"/>
    <w:basedOn w:val="DefaultParagraphFont"/>
    <w:link w:val="Footer"/>
    <w:uiPriority w:val="99"/>
    <w:rsid w:val="00355133"/>
    <w:rPr>
      <w:rFonts w:ascii="Arial" w:eastAsia="Arial" w:hAnsi="Arial" w:cs="Arial"/>
      <w:sz w:val="22"/>
      <w:szCs w:val="22"/>
    </w:rPr>
  </w:style>
  <w:style w:type="character" w:styleId="PageNumber">
    <w:name w:val="page number"/>
    <w:basedOn w:val="DefaultParagraphFont"/>
    <w:uiPriority w:val="99"/>
    <w:semiHidden/>
    <w:unhideWhenUsed/>
    <w:rsid w:val="00355133"/>
  </w:style>
  <w:style w:type="paragraph" w:styleId="Header">
    <w:name w:val="header"/>
    <w:basedOn w:val="Normal"/>
    <w:link w:val="HeaderChar"/>
    <w:uiPriority w:val="99"/>
    <w:unhideWhenUsed/>
    <w:rsid w:val="005F3737"/>
    <w:pPr>
      <w:tabs>
        <w:tab w:val="center" w:pos="4680"/>
        <w:tab w:val="right" w:pos="9360"/>
      </w:tabs>
    </w:pPr>
  </w:style>
  <w:style w:type="character" w:customStyle="1" w:styleId="HeaderChar">
    <w:name w:val="Header Char"/>
    <w:basedOn w:val="DefaultParagraphFont"/>
    <w:link w:val="Header"/>
    <w:uiPriority w:val="99"/>
    <w:rsid w:val="005F3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Peek</dc:creator>
  <cp:keywords/>
  <dc:description/>
  <cp:lastModifiedBy>Samantha Elwood</cp:lastModifiedBy>
  <cp:revision>3</cp:revision>
  <cp:lastPrinted>2020-12-03T19:52:00Z</cp:lastPrinted>
  <dcterms:created xsi:type="dcterms:W3CDTF">2021-02-05T20:30:00Z</dcterms:created>
  <dcterms:modified xsi:type="dcterms:W3CDTF">2021-02-11T23:40:00Z</dcterms:modified>
</cp:coreProperties>
</file>